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E6" w:rsidRPr="00FC6B31" w:rsidRDefault="00FC6B31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9658E6" w:rsidRPr="00FC6B31" w:rsidRDefault="009658E6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РЕШЕНИЕ</w:t>
      </w: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 » декабря 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6C79A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№  15 </w:t>
      </w:r>
    </w:p>
    <w:p w:rsidR="009658E6" w:rsidRDefault="009658E6" w:rsidP="009658E6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Алеур </w:t>
      </w:r>
    </w:p>
    <w:p w:rsidR="009658E6" w:rsidRDefault="009658E6" w:rsidP="009658E6">
      <w:pPr>
        <w:pStyle w:val="ConsPlusTitle"/>
        <w:tabs>
          <w:tab w:val="left" w:pos="6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Pr="00DB4D3F" w:rsidRDefault="009658E6" w:rsidP="00965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4D3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="00B9448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5" w:history="1">
        <w:r w:rsidRPr="00B9448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№ 248-ФЗ</w:t>
        </w:r>
      </w:hyperlink>
      <w:r w:rsidR="00B9448F">
        <w:rPr>
          <w:b/>
        </w:rPr>
        <w:t xml:space="preserve"> </w:t>
      </w:r>
      <w:r w:rsidRPr="00B944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hyperlink r:id="rId6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«Алеурское», утвержденными Постановлением № 36 от 03.04.2018, руководствуясь Уставом сельского поселения «Алеурское»,  Совет  сельского поселения «Алеурское» решил: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r:id="rId7" w:anchor="P32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(обнародования). 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9658E6" w:rsidRDefault="009658E6" w:rsidP="009658E6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«Алеурское»                                                 О.М. Зверева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«Алеурское» </w:t>
      </w:r>
    </w:p>
    <w:p w:rsidR="009658E6" w:rsidRDefault="009658E6" w:rsidP="009658E6">
      <w:pPr>
        <w:pStyle w:val="a4"/>
        <w:jc w:val="right"/>
        <w:rPr>
          <w:i/>
        </w:rPr>
      </w:pPr>
      <w:r>
        <w:rPr>
          <w:sz w:val="28"/>
          <w:szCs w:val="28"/>
        </w:rPr>
        <w:t xml:space="preserve">от  «13»  декабря  2021 года  №15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«Алеурское».</w:t>
      </w: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Органом местного самоуправления сельского поселения «Алеурское», уполномоченным на осуществление муниципального контроля, является администрация  сельского поселения «Алеурское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контрольный орган).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1.3.Должностными лицами, уполномоченными на осуществление муниципального контроля (далее – инспекторы), являются сотрудники администрации  сельского поселения «Алеурское». Указываем должности без фамилий.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Инспекторы при осуществлении муниципального контроля реализуют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C79A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утвержденных Постановлением  администрации сельского поселения «Алеурское» № 36 от 03.04.2018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обязательные требования).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1.6.Объектами муниципального контроля (далее – объекты контроля) являются: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1)деятельность, действия (бездействие) контролируемых лиц в сфере благоустройства на территории (наименование муниципального образования), в рамках которых должны соблюдаться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2)результаты деятельности контролируемых лиц, в том числе работы и услуги, к которым предъявляются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3)элементы и объекты благоустройства, установленные Правилами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1.7.Контрольный орган обеспечивает учет объектов контроля в рамках осуществления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248-ФЗ.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 сельского поселения «Алеурское» № 36  от  03.04.2018год.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Утвержденная Программа профилактики размещается на официальном сайте администрации сельского поселения «Алеурское» в информационно-телекоммуникационной сети «Интернет».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осуществлении муниципального контроля контрольный орган проводит следующие виды профилактических мероприятий: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3.4.Информирование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 сведений и документов.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лица,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 соответствии с </w:t>
      </w:r>
      <w:hyperlink r:id="rId10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2 статьи 61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4.2.В соответствии с </w:t>
      </w:r>
      <w:hyperlink r:id="rId11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3 статьи 66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 Для проведения контрольного мероприятия принимается решение контрольного органа, подписанное  руководителем  контрольного органа (далее – решение о проведении контрольного мероприятия), в котором указываются: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принятия решения;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кем принято решение;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основание проведения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вид контроля;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 (при необходимости);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вид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 перечень контрольных действий, совершаемых в рамках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 предмет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 проверочные листы, если их применение является обязательным;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15) иные сведения, если это предусмотрено настоящим Положением.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hyperlink r:id="rId12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4"/>
      <w:bookmarkEnd w:id="1"/>
      <w:r>
        <w:rPr>
          <w:rFonts w:ascii="Times New Roman" w:hAnsi="Times New Roman" w:cs="Times New Roman"/>
          <w:sz w:val="28"/>
          <w:szCs w:val="28"/>
        </w:rPr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выездная проверка.</w:t>
      </w: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Инспекционный визит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4.6.3.В ходе инспекционного визита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4.7.Документарная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4.7.3.В ходе документарной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4.7.4. В случае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Письменные объяснения могут быть запрошены инспектором от контролируемого лица или его представителя, свидетелей.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4.7.9.Экспертиза осуществляется экспертом или экспертной организацией по поручению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4.8.Выездная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Выездная проверка проводится в случае, если не представляется возможным: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4.8.5. Срок проведения выездной проверки не может превышать 10 рабочих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4.8.6. В ходе выездной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4.8.10. Представление контролируемым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4.7.6, 4.7.8, 4.6.9 пункта 4.7 настоящего Положения.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Случаи, при наступлении которых контролируемые лица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5)признания недееспособным или ограниченно дееспособным решением суда, вступившим в законную силу.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5.2.Информация о невозможности присутствия при проведении контрольного мероприятия должна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>
        <w:rPr>
          <w:rFonts w:ascii="Times New Roman" w:hAnsi="Times New Roman" w:cs="Times New Roman"/>
          <w:b/>
          <w:sz w:val="28"/>
          <w:szCs w:val="28"/>
        </w:rPr>
        <w:br/>
        <w:t>иных способов фиксации доказатель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7.Результаты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7.10.В случае выявления при проведении контрольного мероприятия нарушений обязательных требований контролируемым лицом контрольный орган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сроки исполнения предписания, по форме утвержденной муниципальным правовым актом (приложение № 1 к настоящему положению).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Обжалование решений контрольных органов,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действий (бездействия) их должностных лиц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в течение 2022 года не применяется. Прием, рассмотрение жалоб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С 01.01.2023 г. досудебное обжалование решений контрольного органа, действий (бездействия) инспекторов осуществляется в соответствии с </w:t>
      </w:r>
      <w:hyperlink r:id="rId13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 w:rsidRPr="006C7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248-ФЗ, а также с учетом особенностей, установленных настоящим Положением.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Жалоба на решение контрольного органа, действия (бездействие) инспекторов рассматривается главой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8.4. Судебное обжалование решений контрольного органа, действий (бездействия)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инспекторов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>8.5. Жалоба подлежит рассмотрению в течение 20 рабочих дней со дня ее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/>
          <w:sz w:val="28"/>
          <w:szCs w:val="28"/>
        </w:rPr>
        <w:t>8.6.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Контролируемому лицу выдается под личную подпись расписка о приеме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Ключевые показатели вида контроля и их целевые значения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муниципального контроля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4"/>
      <w:r>
        <w:rPr>
          <w:rFonts w:ascii="Times New Roman" w:hAnsi="Times New Roman"/>
          <w:sz w:val="28"/>
        </w:rPr>
        <w:t xml:space="preserve"> установлены приложением № 2 к настоящему Положению.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Pr="006C79A0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 на территории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A0" w:rsidRPr="006C79A0">
        <w:rPr>
          <w:rFonts w:ascii="Times New Roman" w:hAnsi="Times New Roman"/>
          <w:sz w:val="28"/>
          <w:szCs w:val="28"/>
        </w:rPr>
        <w:t>№ 15  от 13.12.2021</w:t>
      </w:r>
    </w:p>
    <w:p w:rsidR="009658E6" w:rsidRDefault="009658E6" w:rsidP="009658E6">
      <w:pPr>
        <w:spacing w:after="0" w:line="240" w:lineRule="auto"/>
        <w:ind w:left="5103"/>
        <w:jc w:val="center"/>
      </w:pPr>
      <w:r>
        <w:t>__________________</w:t>
      </w:r>
    </w:p>
    <w:p w:rsidR="009658E6" w:rsidRDefault="009658E6" w:rsidP="009658E6">
      <w:pPr>
        <w:pStyle w:val="ConsPlusNormal"/>
        <w:jc w:val="right"/>
      </w:pPr>
    </w:p>
    <w:p w:rsidR="009658E6" w:rsidRDefault="009658E6" w:rsidP="009658E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 предписания контрольного органа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2"/>
        <w:gridCol w:w="5487"/>
      </w:tblGrid>
      <w:tr w:rsidR="009658E6" w:rsidRPr="00403BC7" w:rsidTr="0095663C">
        <w:tc>
          <w:tcPr>
            <w:tcW w:w="2344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2656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9658E6" w:rsidRDefault="009658E6" w:rsidP="009658E6">
      <w:pPr>
        <w:pStyle w:val="ConsPlusNormal"/>
        <w:jc w:val="center"/>
        <w:rPr>
          <w:sz w:val="24"/>
          <w:szCs w:val="24"/>
        </w:rPr>
      </w:pP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Par320"/>
      <w:bookmarkEnd w:id="5"/>
      <w:r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_______________________________________________________,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(перечисляются выявленные нарушения обязательных требований с указанием структурных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единиц нормативных правовых актов, которыми установлены данные обязательные требования)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</w:tr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9658E6" w:rsidRDefault="009658E6" w:rsidP="009658E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«Алеурское» </w:t>
      </w:r>
      <w:r w:rsidR="006C79A0">
        <w:rPr>
          <w:rFonts w:ascii="Times New Roman" w:hAnsi="Times New Roman"/>
          <w:sz w:val="28"/>
          <w:szCs w:val="28"/>
        </w:rPr>
        <w:t xml:space="preserve"> № 15  от 13.12.2021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highlight w:val="yellow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контроля в сфере благоустройства и их целевые значения, индикативные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0"/>
        <w:gridCol w:w="3041"/>
      </w:tblGrid>
      <w:tr w:rsidR="009658E6" w:rsidRPr="00403BC7" w:rsidTr="0095663C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9658E6" w:rsidRPr="00403BC7" w:rsidTr="0095663C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9658E6" w:rsidRPr="00403BC7" w:rsidTr="0095663C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658E6" w:rsidRPr="00403BC7" w:rsidTr="0095663C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9658E6" w:rsidRPr="00403BC7" w:rsidTr="0095663C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699"/>
        <w:gridCol w:w="197"/>
        <w:gridCol w:w="895"/>
        <w:gridCol w:w="13"/>
        <w:gridCol w:w="2561"/>
        <w:gridCol w:w="143"/>
        <w:gridCol w:w="807"/>
        <w:gridCol w:w="168"/>
        <w:gridCol w:w="2220"/>
      </w:tblGrid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Письма, жалобы, обращения, поступившие в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орган</w:t>
            </w:r>
          </w:p>
        </w:tc>
      </w:tr>
      <w:tr w:rsidR="009658E6" w:rsidRPr="00403BC7" w:rsidTr="0095663C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жалоб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Кнм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Кр=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pStyle w:val="msobodytextbullet1gif"/>
        <w:tabs>
          <w:tab w:val="left" w:pos="7830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9658E6" w:rsidRDefault="009658E6" w:rsidP="009658E6">
      <w:pPr>
        <w:pStyle w:val="msobodytextbullet1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973" w:rsidRDefault="009C2973"/>
    <w:sectPr w:rsidR="009C2973" w:rsidSect="00B94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8E6"/>
    <w:rsid w:val="006C79A0"/>
    <w:rsid w:val="007D2202"/>
    <w:rsid w:val="009658E6"/>
    <w:rsid w:val="009C2973"/>
    <w:rsid w:val="00B9448F"/>
    <w:rsid w:val="00C127B4"/>
    <w:rsid w:val="00D43023"/>
    <w:rsid w:val="00DB4D3F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58E6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9658E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58E6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link w:val="a5"/>
    <w:locked/>
    <w:rsid w:val="009658E6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Hyperlink"/>
    <w:basedOn w:val="a0"/>
    <w:semiHidden/>
    <w:unhideWhenUsed/>
    <w:rsid w:val="009658E6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9658E6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658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658E6"/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rsid w:val="009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uiPriority w:val="99"/>
    <w:rsid w:val="009658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"/>
    <w:locked/>
    <w:rsid w:val="009658E6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9658E6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\Desktop\&#1055;&#1086;&#1083;&#1086;&#1078;&#1077;&#1085;&#1080;&#1077;%20&#1086;%20&#1082;&#1086;&#1085;&#1090;&#1088;&#1086;&#1083;&#1077;%20&#1074;%20&#1073;&#1083;&#1072;&#1075;&#1086;&#1091;&#1089;&#1090;&#1088;&#1086;&#1081;&#1089;&#1090;&#1074;&#1077;.docx" TargetMode="External"/><Relationship Id="rId12" Type="http://schemas.openxmlformats.org/officeDocument/2006/relationships/hyperlink" Target="https://login.consultant.ru/link/?req=doc&amp;demo=2&amp;base=LAW&amp;n=386422&amp;date=14.11.2021&amp;dst=100080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cp:lastPrinted>2021-12-24T02:01:00Z</cp:lastPrinted>
  <dcterms:created xsi:type="dcterms:W3CDTF">2021-12-24T01:02:00Z</dcterms:created>
  <dcterms:modified xsi:type="dcterms:W3CDTF">2022-07-07T01:19:00Z</dcterms:modified>
</cp:coreProperties>
</file>