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B3" w:rsidRPr="008A32E5" w:rsidRDefault="000021B3" w:rsidP="000021B3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E5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«АЛЕУРСКОЕ» </w:t>
      </w:r>
    </w:p>
    <w:p w:rsidR="000021B3" w:rsidRPr="008A32E5" w:rsidRDefault="000021B3" w:rsidP="000021B3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1B3" w:rsidRPr="008A32E5" w:rsidRDefault="000021B3" w:rsidP="000021B3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21B3" w:rsidRPr="008A32E5" w:rsidRDefault="000021B3" w:rsidP="000021B3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 февраля  </w:t>
      </w:r>
      <w:r w:rsidRPr="008A32E5">
        <w:rPr>
          <w:rFonts w:ascii="Times New Roman" w:hAnsi="Times New Roman" w:cs="Times New Roman"/>
          <w:sz w:val="28"/>
          <w:szCs w:val="28"/>
        </w:rPr>
        <w:t xml:space="preserve">  2022 год</w:t>
      </w:r>
      <w:r w:rsidRPr="008A32E5">
        <w:rPr>
          <w:rFonts w:ascii="Times New Roman" w:hAnsi="Times New Roman" w:cs="Times New Roman"/>
          <w:sz w:val="28"/>
          <w:szCs w:val="28"/>
        </w:rPr>
        <w:tab/>
        <w:t xml:space="preserve">                 с. Алеур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32E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1А </w:t>
      </w:r>
    </w:p>
    <w:p w:rsidR="000021B3" w:rsidRPr="008A32E5" w:rsidRDefault="000021B3" w:rsidP="000021B3">
      <w:pPr>
        <w:spacing w:line="300" w:lineRule="exact"/>
        <w:rPr>
          <w:rFonts w:ascii="Times New Roman" w:hAnsi="Times New Roman" w:cs="Times New Roman"/>
          <w:bCs/>
          <w:sz w:val="28"/>
          <w:szCs w:val="28"/>
        </w:rPr>
      </w:pPr>
    </w:p>
    <w:p w:rsidR="000021B3" w:rsidRPr="008A32E5" w:rsidRDefault="000021B3" w:rsidP="000021B3">
      <w:pPr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Методики расчета нормативов формирования расходов, на содержание администрации сельского  поселения «Алеурское».</w:t>
      </w:r>
    </w:p>
    <w:p w:rsidR="000021B3" w:rsidRPr="008A32E5" w:rsidRDefault="000021B3" w:rsidP="000021B3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5" w:history="1">
        <w:r w:rsidRPr="008A32E5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 w:rsidRPr="008A32E5">
        <w:rPr>
          <w:rFonts w:ascii="Times New Roman" w:hAnsi="Times New Roman" w:cs="Times New Roman"/>
          <w:color w:val="000000"/>
          <w:sz w:val="28"/>
          <w:szCs w:val="28"/>
        </w:rPr>
        <w:t xml:space="preserve">) «О межбюджетных отношениях в Забайкальском крае», Постановлением Правительства Забайкальского края </w:t>
      </w:r>
      <w:r w:rsidRPr="008A32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от</w:t>
      </w:r>
      <w:r w:rsidRPr="008A32E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8A32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09</w:t>
      </w:r>
      <w:r w:rsidRPr="008A32E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Pr="008A32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06</w:t>
      </w:r>
      <w:r w:rsidRPr="008A32E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Pr="008A32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2020</w:t>
      </w:r>
      <w:r w:rsidRPr="008A32E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proofErr w:type="gramStart"/>
      <w:r w:rsidRPr="008A32E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»(</w:t>
      </w:r>
      <w:proofErr w:type="gramEnd"/>
      <w:r w:rsidRPr="008A32E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ред. от 18 декабря 2020 года №566)</w:t>
      </w:r>
      <w:r w:rsidRPr="008A32E5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 сельского поселения «Алеурское», </w:t>
      </w:r>
      <w:r w:rsidRPr="008A32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 сельского поселения «Алеурское»  </w:t>
      </w:r>
      <w:proofErr w:type="spellStart"/>
      <w:proofErr w:type="gramStart"/>
      <w:r w:rsidRPr="008A32E5">
        <w:rPr>
          <w:rFonts w:ascii="Times New Roman" w:hAnsi="Times New Roman" w:cs="Times New Roman"/>
          <w:b/>
          <w:sz w:val="28"/>
          <w:szCs w:val="28"/>
          <w:lang w:eastAsia="en-US"/>
        </w:rPr>
        <w:t>р</w:t>
      </w:r>
      <w:proofErr w:type="spellEnd"/>
      <w:proofErr w:type="gramEnd"/>
      <w:r w:rsidRPr="008A32E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 </w:t>
      </w:r>
      <w:proofErr w:type="spellStart"/>
      <w:r w:rsidRPr="008A32E5">
        <w:rPr>
          <w:rFonts w:ascii="Times New Roman" w:hAnsi="Times New Roman" w:cs="Times New Roman"/>
          <w:b/>
          <w:sz w:val="28"/>
          <w:szCs w:val="28"/>
          <w:lang w:eastAsia="en-US"/>
        </w:rPr>
        <w:t>ш</w:t>
      </w:r>
      <w:proofErr w:type="spellEnd"/>
      <w:r w:rsidRPr="008A32E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л :</w:t>
      </w:r>
    </w:p>
    <w:p w:rsidR="000021B3" w:rsidRPr="008A32E5" w:rsidRDefault="000021B3" w:rsidP="000021B3">
      <w:pPr>
        <w:pStyle w:val="ConsNormal"/>
        <w:widowControl/>
        <w:spacing w:line="300" w:lineRule="exact"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Cs/>
          <w:sz w:val="28"/>
          <w:szCs w:val="28"/>
        </w:rPr>
        <w:t>1. Утвердить Методику расчета нормативов формирования расходов на содержание  администрации сельского поселения «Алеурское»   (прилагается).</w:t>
      </w:r>
    </w:p>
    <w:p w:rsidR="000021B3" w:rsidRPr="008A32E5" w:rsidRDefault="000021B3" w:rsidP="000021B3">
      <w:pPr>
        <w:tabs>
          <w:tab w:val="left" w:pos="0"/>
        </w:tabs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законную силу после его официального опубликования и распространяется на правоотношения, возникшие с 01 января 2022 года.</w:t>
      </w:r>
    </w:p>
    <w:p w:rsidR="000021B3" w:rsidRPr="008A32E5" w:rsidRDefault="000021B3" w:rsidP="000021B3">
      <w:pPr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23. Настоящее решение разместить на официальном сайте </w:t>
      </w:r>
      <w:hyperlink r:id="rId6" w:tgtFrame="_blank" w:history="1">
        <w:r w:rsidRPr="008A32E5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BFBFB"/>
          </w:rPr>
          <w:t>chernishev.75.ru</w:t>
        </w:r>
      </w:hyperlink>
      <w:r w:rsidRPr="008A32E5">
        <w:rPr>
          <w:rFonts w:ascii="Times New Roman" w:hAnsi="Times New Roman" w:cs="Times New Roman"/>
          <w:sz w:val="28"/>
          <w:szCs w:val="28"/>
        </w:rPr>
        <w:t xml:space="preserve">   сельское  поселение  «Алеурское» в разделе Документы.</w:t>
      </w:r>
    </w:p>
    <w:p w:rsidR="000021B3" w:rsidRPr="008A32E5" w:rsidRDefault="000021B3" w:rsidP="000021B3">
      <w:pPr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tabs>
          <w:tab w:val="left" w:pos="1134"/>
        </w:tabs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Глава сельского поселения «Алеурское»                                      А.В. Демидов </w:t>
      </w:r>
    </w:p>
    <w:p w:rsidR="000021B3" w:rsidRPr="008A32E5" w:rsidRDefault="000021B3" w:rsidP="000021B3">
      <w:pPr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spacing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УТВЕРЖДЕНА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lastRenderedPageBreak/>
        <w:t>решением Совета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сельского поселения «Алеурское »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29.02.  </w:t>
      </w:r>
      <w:r w:rsidRPr="008A32E5">
        <w:rPr>
          <w:rFonts w:ascii="Times New Roman" w:hAnsi="Times New Roman" w:cs="Times New Roman"/>
          <w:sz w:val="28"/>
          <w:szCs w:val="28"/>
        </w:rPr>
        <w:t xml:space="preserve">2022 года № </w:t>
      </w:r>
      <w:r>
        <w:rPr>
          <w:rFonts w:ascii="Times New Roman" w:hAnsi="Times New Roman" w:cs="Times New Roman"/>
          <w:sz w:val="28"/>
          <w:szCs w:val="28"/>
        </w:rPr>
        <w:t xml:space="preserve">1А 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расчета нормативов формирования расходов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на содержание органов местного самоуправления муниципальных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образований Забайкальского края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1B3" w:rsidRPr="008A32E5" w:rsidRDefault="000021B3" w:rsidP="00002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нормативов формирования расходов на содержание органов местного самоуправления городских, сельских поселений  (далее – органы местного самоуправления), ограничивающих максимальный размер расходов городских, сельских поселений муниципального района «Чернышевский район» на указанные цели, в том числе порядок расчета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замещающих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должности, не отнесенные к должностям муниципальной службы, и осуществляющих обеспечение деятельности органов местного самоуправления (далее – норматив формирования расходов).</w:t>
      </w:r>
    </w:p>
    <w:p w:rsidR="000021B3" w:rsidRPr="008A32E5" w:rsidRDefault="000021B3" w:rsidP="000021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2. Норматив формирования расходов (Н</w:t>
      </w:r>
      <w:proofErr w:type="spellStart"/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</w:rPr>
        <w:t>) устанавливает предельный годовой объем расходов на содержание органов местного самоуправления городских, сельских поселений муниципального района «Чернышевский район» и рассчитывается по формуле:</w:t>
      </w:r>
    </w:p>
    <w:p w:rsidR="000021B3" w:rsidRPr="008A32E5" w:rsidRDefault="000021B3" w:rsidP="000021B3">
      <w:pPr>
        <w:tabs>
          <w:tab w:val="left" w:pos="993"/>
          <w:tab w:val="left" w:pos="1620"/>
        </w:tabs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Р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мунi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Р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служi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ПР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К</w:t>
      </w:r>
      <w:r w:rsidRPr="008A32E5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>, где: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мун</w:t>
      </w:r>
      <w:proofErr w:type="gramStart"/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– объем расходов 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 (далее – 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>лица, замещающие муниципальные должности на постоянной основе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>), муниципальных служащих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городских, сельских поселений;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служ</w:t>
      </w:r>
      <w:proofErr w:type="gramStart"/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 xml:space="preserve"> – объем расходов на оплату труда работников, 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>замещающих должности, не отнесенные к должностям муниципальной службы</w:t>
      </w:r>
      <w:r w:rsidRPr="008A32E5">
        <w:rPr>
          <w:rFonts w:ascii="Times New Roman" w:hAnsi="Times New Roman" w:cs="Times New Roman"/>
          <w:b w:val="0"/>
          <w:color w:val="FF0000"/>
          <w:sz w:val="28"/>
          <w:szCs w:val="28"/>
        </w:rPr>
        <w:t>,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и осуществляющих обеспечение деятельности органов местного 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lastRenderedPageBreak/>
        <w:t>самоуправления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служащие), органов местного самоуправления 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>городских, сельских поселений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bCs/>
          <w:sz w:val="28"/>
          <w:szCs w:val="28"/>
        </w:rPr>
        <w:t>К</w:t>
      </w:r>
      <w:r w:rsidRPr="008A32E5">
        <w:rPr>
          <w:rFonts w:ascii="Times New Roman" w:hAnsi="Times New Roman" w:cs="Times New Roman"/>
          <w:bCs/>
          <w:sz w:val="28"/>
          <w:szCs w:val="28"/>
          <w:vertAlign w:val="superscript"/>
        </w:rPr>
        <w:t>Д</w:t>
      </w:r>
      <w:r w:rsidRPr="008A32E5">
        <w:rPr>
          <w:rFonts w:ascii="Times New Roman" w:hAnsi="Times New Roman" w:cs="Times New Roman"/>
          <w:bCs/>
          <w:sz w:val="28"/>
          <w:szCs w:val="28"/>
          <w:vertAlign w:val="subscript"/>
        </w:rPr>
        <w:t>стим</w:t>
      </w:r>
      <w:proofErr w:type="spell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>– коэффициент стимулирования органов местного самоуправления  муниципального района, с учетом доли налоговых и неналоговых доходов в консолидированном бюджете муниципального района;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32E5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Start"/>
      <w:proofErr w:type="gramStart"/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мо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 xml:space="preserve"> – прочие расходы на содержание органов местного самоуправления 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>городских, сельских поселений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3. Объем расходов 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оплату труда 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 на постоянной основе,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муниципальных служащих органов местного самоуправления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городских, сельских поселений (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мун</w:t>
      </w:r>
      <w:proofErr w:type="gramStart"/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) рассчитывается по формуле: 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мун</w:t>
      </w:r>
      <w:proofErr w:type="gramStart"/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Ч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нi</w:t>
      </w:r>
      <w:proofErr w:type="spell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РДО 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пр</w:t>
      </w:r>
      <w:proofErr w:type="spell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зп</w:t>
      </w:r>
      <w:proofErr w:type="spellEnd"/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РК 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НОТ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i</w:t>
      </w:r>
      <w:proofErr w:type="spellEnd"/>
      <w:r w:rsidRPr="008A32E5">
        <w:rPr>
          <w:rFonts w:ascii="Times New Roman" w:hAnsi="Times New Roman" w:cs="Times New Roman"/>
          <w:b w:val="0"/>
          <w:sz w:val="28"/>
          <w:szCs w:val="28"/>
        </w:rPr>
        <w:t>, где: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Ч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н</w:t>
      </w:r>
      <w:proofErr w:type="gramStart"/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– расчетная нормативная численность лиц, замещающих муниципальные должности на постоянной основе, и муниципальных служащих органов местного самоуправления  городских, сельских поселений, установленная: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2E5">
        <w:rPr>
          <w:rFonts w:ascii="Times New Roman" w:hAnsi="Times New Roman" w:cs="Times New Roman"/>
          <w:b w:val="0"/>
          <w:sz w:val="28"/>
          <w:szCs w:val="28"/>
        </w:rPr>
        <w:t>для городских, сельских поселений в соответствии с приложением № 1 к настоящей Методике.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2E5">
        <w:rPr>
          <w:rFonts w:ascii="Times New Roman" w:hAnsi="Times New Roman" w:cs="Times New Roman"/>
          <w:b w:val="0"/>
          <w:sz w:val="28"/>
          <w:szCs w:val="28"/>
        </w:rPr>
        <w:t>РДО – размер должностного оклада: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2E5">
        <w:rPr>
          <w:rFonts w:ascii="Times New Roman" w:hAnsi="Times New Roman" w:cs="Times New Roman"/>
          <w:b w:val="0"/>
          <w:sz w:val="28"/>
          <w:szCs w:val="28"/>
        </w:rPr>
        <w:t>для лиц, замещающих муниципальные должности на постоянной основе, и муниципальных служащих органа местного самоуправления в размере:</w:t>
      </w:r>
    </w:p>
    <w:p w:rsidR="000021B3" w:rsidRPr="008A32E5" w:rsidRDefault="000021B3" w:rsidP="000021B3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для городского поселения 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53 процента от максимального размера должностного оклада главы городского поселения по соответствующей группе оплаты труда согласно приложению № 2 к настоящей Методике;</w:t>
      </w:r>
    </w:p>
    <w:p w:rsidR="000021B3" w:rsidRPr="008A32E5" w:rsidRDefault="000021B3" w:rsidP="000021B3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для сельского поселения </w:t>
      </w: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 70 процентов от максимального размера должностного оклада главы сельского поселения по соответствующей группе оплаты труда согласно приложению № 2 к настоящей Методике.</w:t>
      </w:r>
    </w:p>
    <w:p w:rsidR="000021B3" w:rsidRPr="008A32E5" w:rsidRDefault="000021B3" w:rsidP="000021B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Группа оплаты труда городского, сельского поселения</w:t>
      </w:r>
      <w:r w:rsidRPr="008A3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>определяется на основании официальной статистической информации Территориального органа Федеральной службы государственной статистики по Забайкальскому краю о численности постоянного населения по состоянию на 1 января отчетного года;</w:t>
      </w:r>
    </w:p>
    <w:p w:rsidR="000021B3" w:rsidRPr="008A32E5" w:rsidRDefault="000021B3" w:rsidP="000021B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ОТ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A32E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A32E5">
        <w:rPr>
          <w:rFonts w:ascii="Times New Roman" w:hAnsi="Times New Roman" w:cs="Times New Roman"/>
          <w:sz w:val="28"/>
          <w:szCs w:val="28"/>
        </w:rPr>
        <w:t>количество должностных окладов в расчете на год исходя из размера</w:t>
      </w:r>
      <w:r w:rsidRPr="008A3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32E5">
        <w:rPr>
          <w:rFonts w:ascii="Times New Roman" w:hAnsi="Times New Roman" w:cs="Times New Roman"/>
          <w:bCs/>
          <w:sz w:val="28"/>
          <w:szCs w:val="28"/>
        </w:rPr>
        <w:t>фонда оплаты труда лиц, замещающих муниципальные должности на постоянной основе, муниципальных служащих органов местного самоуправления, равное</w:t>
      </w:r>
      <w:r w:rsidRPr="008A32E5">
        <w:rPr>
          <w:rFonts w:ascii="Times New Roman" w:hAnsi="Times New Roman" w:cs="Times New Roman"/>
          <w:sz w:val="28"/>
          <w:szCs w:val="28"/>
        </w:rPr>
        <w:t xml:space="preserve"> 62;</w:t>
      </w:r>
    </w:p>
    <w:p w:rsidR="000021B3" w:rsidRPr="008A32E5" w:rsidRDefault="000021B3" w:rsidP="000021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 xml:space="preserve">– коэффициент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 xml:space="preserve">оплаты труда работников органов местного самоуправления </w:t>
      </w:r>
      <w:proofErr w:type="spellStart"/>
      <w:r w:rsidRPr="008A32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>-го муниципального образования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значений:</w:t>
      </w:r>
    </w:p>
    <w:p w:rsidR="000021B3" w:rsidRPr="008A32E5" w:rsidRDefault="000021B3" w:rsidP="000021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расчетная нормативная численность работников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8A32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>-го муниципального образования равна 2, – 1,35;</w:t>
      </w:r>
    </w:p>
    <w:p w:rsidR="000021B3" w:rsidRPr="008A32E5" w:rsidRDefault="000021B3" w:rsidP="000021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расчетная нормативная численность работников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8A32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>-го муниципального образования равна 3, – 1,22;</w:t>
      </w:r>
    </w:p>
    <w:p w:rsidR="000021B3" w:rsidRPr="008A32E5" w:rsidRDefault="000021B3" w:rsidP="000021B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расчетная нормативная численность работников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8A32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>-го муниципального образования выше 3, – 1,0.</w:t>
      </w:r>
    </w:p>
    <w:p w:rsidR="000021B3" w:rsidRPr="008A32E5" w:rsidRDefault="000021B3" w:rsidP="000021B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32E5">
        <w:rPr>
          <w:rFonts w:ascii="Times New Roman" w:hAnsi="Times New Roman" w:cs="Times New Roman"/>
          <w:sz w:val="28"/>
          <w:szCs w:val="28"/>
        </w:rPr>
        <w:t>РК – районный коэффициент и процентная надбавка к заработной плате</w:t>
      </w:r>
      <w:r w:rsidRPr="008A32E5">
        <w:rPr>
          <w:rFonts w:ascii="Times New Roman" w:hAnsi="Times New Roman" w:cs="Times New Roman"/>
          <w:sz w:val="28"/>
          <w:szCs w:val="28"/>
          <w:lang w:eastAsia="en-US"/>
        </w:rPr>
        <w:t xml:space="preserve"> за стаж работы в районах Крайнего Севера и приравненных к ним местностях</w:t>
      </w:r>
      <w:r w:rsidRPr="008A32E5">
        <w:rPr>
          <w:rFonts w:ascii="Times New Roman" w:hAnsi="Times New Roman" w:cs="Times New Roman"/>
          <w:sz w:val="28"/>
          <w:szCs w:val="28"/>
        </w:rPr>
        <w:t>, а также в остальных районах Севера, устанавливаемые в соответствии с законодательством Забайкальского края;</w:t>
      </w:r>
    </w:p>
    <w:p w:rsidR="000021B3" w:rsidRPr="008A32E5" w:rsidRDefault="000021B3" w:rsidP="000021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НОТ</w:t>
      </w:r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– начисления на оплату труда в соответствии с федеральным законодательством.</w:t>
      </w:r>
    </w:p>
    <w:p w:rsidR="000021B3" w:rsidRPr="008A32E5" w:rsidRDefault="000021B3" w:rsidP="000021B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>4. Объем расходов на оплату труда служащих органов местного самоуправления городских, сельских поселений (</w:t>
      </w:r>
      <w:proofErr w:type="spellStart"/>
      <w:r w:rsidRPr="008A32E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</w:rPr>
        <w:t>служ</w:t>
      </w:r>
      <w:proofErr w:type="gramStart"/>
      <w:r w:rsidRPr="008A32E5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b w:val="0"/>
          <w:bCs/>
          <w:sz w:val="28"/>
          <w:szCs w:val="28"/>
        </w:rPr>
        <w:t xml:space="preserve">) </w:t>
      </w:r>
      <w:r w:rsidRPr="008A32E5">
        <w:rPr>
          <w:rFonts w:ascii="Times New Roman" w:hAnsi="Times New Roman" w:cs="Times New Roman"/>
          <w:b w:val="0"/>
          <w:sz w:val="28"/>
          <w:szCs w:val="28"/>
        </w:rPr>
        <w:t xml:space="preserve">рассчитывается по формуле: </w:t>
      </w:r>
    </w:p>
    <w:p w:rsidR="000021B3" w:rsidRPr="008A32E5" w:rsidRDefault="000021B3" w:rsidP="000021B3">
      <w:pPr>
        <w:tabs>
          <w:tab w:val="left" w:pos="993"/>
          <w:tab w:val="left" w:pos="1620"/>
        </w:tabs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Р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служ</w:t>
      </w:r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Ч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служ</w:t>
      </w:r>
      <w:r w:rsidRPr="008A32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 xml:space="preserve">х СЗП х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НОТ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х 12, где:</w:t>
      </w:r>
    </w:p>
    <w:p w:rsidR="000021B3" w:rsidRPr="008A32E5" w:rsidRDefault="000021B3" w:rsidP="000021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Ч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служ</w:t>
      </w:r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– расчетная нормативная численность служащих органов местного самоуправления </w:t>
      </w:r>
      <w:r w:rsidRPr="008A32E5">
        <w:rPr>
          <w:rFonts w:ascii="Times New Roman" w:hAnsi="Times New Roman" w:cs="Times New Roman"/>
          <w:bCs/>
          <w:sz w:val="28"/>
          <w:szCs w:val="28"/>
        </w:rPr>
        <w:t>городских, сельских поселений</w:t>
      </w:r>
      <w:r w:rsidRPr="008A32E5">
        <w:rPr>
          <w:rFonts w:ascii="Times New Roman" w:hAnsi="Times New Roman" w:cs="Times New Roman"/>
          <w:sz w:val="28"/>
          <w:szCs w:val="28"/>
        </w:rPr>
        <w:t xml:space="preserve">, устанавливаемая в размере 12 процентов от расчетной нормативной численности лиц, замещающих муниципальные должности на постоянной основе, и муниципальных служащих органов местного самоуправления </w:t>
      </w:r>
      <w:r w:rsidRPr="008A32E5">
        <w:rPr>
          <w:rFonts w:ascii="Times New Roman" w:hAnsi="Times New Roman" w:cs="Times New Roman"/>
          <w:bCs/>
          <w:sz w:val="28"/>
          <w:szCs w:val="28"/>
        </w:rPr>
        <w:t>городских, сельских поселений</w:t>
      </w:r>
      <w:r w:rsidRPr="008A32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Ч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8A32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>);</w:t>
      </w:r>
    </w:p>
    <w:p w:rsidR="000021B3" w:rsidRPr="008A32E5" w:rsidRDefault="000021B3" w:rsidP="000021B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2E5">
        <w:rPr>
          <w:rFonts w:ascii="Times New Roman" w:hAnsi="Times New Roman" w:cs="Times New Roman"/>
          <w:sz w:val="28"/>
          <w:szCs w:val="28"/>
        </w:rPr>
        <w:t>СЗП – законодательно установленный минимальный размер оплаты труда в Российской Федерации, умноженный на повышающий коэффициент 1,15, с учетом районного коэффициента и процентной надбавки к заработной плате</w:t>
      </w:r>
      <w:r w:rsidRPr="008A32E5">
        <w:rPr>
          <w:rFonts w:ascii="Times New Roman" w:hAnsi="Times New Roman" w:cs="Times New Roman"/>
          <w:sz w:val="28"/>
          <w:szCs w:val="28"/>
          <w:lang w:eastAsia="en-US"/>
        </w:rPr>
        <w:t xml:space="preserve"> за стаж работы в районах Крайнего Севера и приравненных к ним местностях</w:t>
      </w:r>
      <w:r w:rsidRPr="008A32E5">
        <w:rPr>
          <w:rFonts w:ascii="Times New Roman" w:hAnsi="Times New Roman" w:cs="Times New Roman"/>
          <w:sz w:val="28"/>
          <w:szCs w:val="28"/>
        </w:rPr>
        <w:t>, а также в остальных районах Севера, устанавливаемых в соответствии с законодательством Забайкальского края, и индексации заработной платы, предусмотренной законодательством Забайкальского края;</w:t>
      </w:r>
      <w:proofErr w:type="gramEnd"/>
    </w:p>
    <w:p w:rsidR="000021B3" w:rsidRPr="008A32E5" w:rsidRDefault="000021B3" w:rsidP="000021B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НОТ</w:t>
      </w:r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– начисления на оплату труда в соответствии с федеральным законодательством;</w:t>
      </w:r>
    </w:p>
    <w:p w:rsidR="000021B3" w:rsidRPr="008A32E5" w:rsidRDefault="000021B3" w:rsidP="000021B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12 – количество месяцев.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5. Коэффициент стимулирования органов местного самоуправления</w:t>
      </w:r>
      <w:r w:rsidRPr="008A32E5">
        <w:rPr>
          <w:rFonts w:ascii="Times New Roman" w:hAnsi="Times New Roman" w:cs="Times New Roman"/>
          <w:sz w:val="28"/>
          <w:szCs w:val="28"/>
        </w:rPr>
        <w:br/>
      </w:r>
      <w:r w:rsidRPr="008A32E5">
        <w:rPr>
          <w:rFonts w:ascii="Times New Roman" w:hAnsi="Times New Roman" w:cs="Times New Roman"/>
          <w:bCs/>
          <w:sz w:val="28"/>
          <w:szCs w:val="28"/>
        </w:rPr>
        <w:t>городских, сельских поселений</w:t>
      </w:r>
      <w:r w:rsidRPr="008A3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К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стимi</w:t>
      </w:r>
      <w:proofErr w:type="spellEnd"/>
      <w:proofErr w:type="gramStart"/>
      <w:r w:rsidRPr="008A32E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spacing w:before="120" w:after="120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>= (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КН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мунi</w:t>
      </w:r>
      <w:proofErr w:type="spell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КДИ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мунi</w:t>
      </w:r>
      <w:r w:rsidRPr="008A32E5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КДЗ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мунi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) /3, где: 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КН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мун</w:t>
      </w:r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>– коэффициент снижения (роста) недоимки муниципального района;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КДИ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мун</w:t>
      </w:r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 xml:space="preserve">– коэффициент роста фактических поступлений по налогу на имущество физических лиц муниципального района;  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КДЗ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мун</w:t>
      </w:r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8A32E5">
        <w:rPr>
          <w:rFonts w:ascii="Times New Roman" w:hAnsi="Times New Roman" w:cs="Times New Roman"/>
          <w:sz w:val="28"/>
          <w:szCs w:val="28"/>
        </w:rPr>
        <w:t>– коэффициент роста фактических поступлений по земельному налогу муниципального района.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Коэффициент снижения (роста) недоимки муниципального района по состоянию на 1 января текущего года по сравнению</w:t>
      </w:r>
      <w:r w:rsidRPr="008A32E5">
        <w:rPr>
          <w:rFonts w:ascii="Times New Roman" w:hAnsi="Times New Roman" w:cs="Times New Roman"/>
          <w:sz w:val="28"/>
          <w:szCs w:val="28"/>
        </w:rPr>
        <w:br/>
        <w:t>с 1 января отчетного года принимает одно из следующих значений: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если сумма недоимки по налоговым платежам в консолидированный бюджет муниципального района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уменьшилась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либо увеличилась до 10 процентов включительно, – 1,0;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сумма недоимки по налоговым платежам в консолидированный бюджет муниципального района уменьшилась более чем</w:t>
      </w:r>
      <w:r w:rsidRPr="008A32E5">
        <w:rPr>
          <w:rFonts w:ascii="Times New Roman" w:hAnsi="Times New Roman" w:cs="Times New Roman"/>
          <w:sz w:val="28"/>
          <w:szCs w:val="28"/>
        </w:rPr>
        <w:br/>
        <w:t>на 10 процентов и до 50 процентов включительно, – 1,05;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сумма недоимки по налоговым платежам в консолидированный бюджет муниципального района уменьшилась более чем</w:t>
      </w:r>
      <w:r w:rsidRPr="008A32E5">
        <w:rPr>
          <w:rFonts w:ascii="Times New Roman" w:hAnsi="Times New Roman" w:cs="Times New Roman"/>
          <w:sz w:val="28"/>
          <w:szCs w:val="28"/>
        </w:rPr>
        <w:br/>
        <w:t>на 50 процентов, – 1,07.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Коэффициент роста фактических поступлений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по налогу на имущество физических лиц в консолидированный бюджет муниципального района за отчетный год к предшествующему отчетному году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значений: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если фактические поступления по налогу на имущество физических лиц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увеличились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либо уменьшились до 15 процентов включительно, – 1,0;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фактические поступления по налогу на имущество физических лиц уменьшились более чем на 15 процентов, – 1,0;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фактические поступления по налогу на имущество физических лиц увеличились более чем на 15 процентов и до 25 процентов включительно, – 1,05;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фактические поступления по налогу на имущество физических лиц увеличились более чем на 25 процентов, – 1,07.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Коэффициент роста фактических поступлений по земельному налогу в консолидированный бюджет муниципального района за отчетный год к предшествующему отчетному году принимает одно из следующих значений: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фактические поступления по земельному налогу уменьшились более чем на 5 процентов, – 1,0;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если фактические поступления по земельному налогу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уменьшились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либо увеличились до 5 процентов включительно, – 1,0;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если фактические поступления по земельному налогу увеличились более чем на 5 процентов и до 10 процентов включительно, – 1,05;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если фактические поступления по земельному налогу увеличились более чем на 10 процентов, – 1,07. </w:t>
      </w:r>
    </w:p>
    <w:p w:rsidR="000021B3" w:rsidRPr="008A32E5" w:rsidRDefault="000021B3" w:rsidP="000021B3">
      <w:pPr>
        <w:pStyle w:val="ConsNormal"/>
        <w:widowControl/>
        <w:tabs>
          <w:tab w:val="left" w:pos="0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lastRenderedPageBreak/>
        <w:t>6. Коэффициент стимулирования органов местного самоуправления</w:t>
      </w:r>
      <w:r w:rsidRPr="008A32E5">
        <w:rPr>
          <w:rFonts w:ascii="Times New Roman" w:hAnsi="Times New Roman" w:cs="Times New Roman"/>
          <w:sz w:val="28"/>
          <w:szCs w:val="28"/>
        </w:rPr>
        <w:br/>
        <w:t>муниципального района распределяется исходя из доли налоговых и неналоговых доходов в консолидированном бюджете муниципального района (Д):</w:t>
      </w:r>
    </w:p>
    <w:p w:rsidR="000021B3" w:rsidRPr="008A32E5" w:rsidRDefault="000021B3" w:rsidP="000021B3">
      <w:pPr>
        <w:pStyle w:val="ConsNormal"/>
        <w:widowControl/>
        <w:tabs>
          <w:tab w:val="left" w:pos="0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для городских</w:t>
      </w:r>
      <w:r w:rsidRPr="008A32E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A32E5">
        <w:rPr>
          <w:rFonts w:ascii="Times New Roman" w:hAnsi="Times New Roman" w:cs="Times New Roman"/>
          <w:sz w:val="28"/>
          <w:szCs w:val="28"/>
        </w:rPr>
        <w:t xml:space="preserve"> сельских поселений (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Д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spacing w:before="120" w:after="120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proofErr w:type="gram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proofErr w:type="spellEnd"/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= </w:t>
      </w:r>
      <w:r w:rsidRPr="008A32E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/ </w:t>
      </w:r>
      <w:r w:rsidRPr="008A32E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кбмр</w:t>
      </w:r>
      <w:proofErr w:type="spell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8A32E5">
        <w:rPr>
          <w:rFonts w:ascii="Times New Roman" w:hAnsi="Times New Roman" w:cs="Times New Roman"/>
          <w:sz w:val="28"/>
          <w:szCs w:val="28"/>
        </w:rPr>
        <w:t>х 100, где: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proofErr w:type="spellEnd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32E5">
        <w:rPr>
          <w:rFonts w:ascii="Times New Roman" w:hAnsi="Times New Roman" w:cs="Times New Roman"/>
          <w:sz w:val="28"/>
          <w:szCs w:val="28"/>
        </w:rPr>
        <w:t>– фактическое поступление налоговых и неналоговых доходов бюджетов городских, сельских поселений за отчетный год;</w:t>
      </w:r>
    </w:p>
    <w:p w:rsidR="000021B3" w:rsidRPr="008A32E5" w:rsidRDefault="000021B3" w:rsidP="000021B3">
      <w:pPr>
        <w:pStyle w:val="ConsNormal"/>
        <w:widowControl/>
        <w:tabs>
          <w:tab w:val="left" w:pos="993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2E5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кбмр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– фактическое поступление налоговых и неналоговых доходов консолидированного бюджета муниципального района за отчетный год.</w:t>
      </w:r>
      <w:proofErr w:type="gramEnd"/>
    </w:p>
    <w:p w:rsidR="000021B3" w:rsidRPr="008A32E5" w:rsidRDefault="000021B3" w:rsidP="000021B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7. </w:t>
      </w:r>
      <w:r w:rsidRPr="008A32E5">
        <w:rPr>
          <w:rFonts w:ascii="Times New Roman" w:hAnsi="Times New Roman" w:cs="Times New Roman"/>
          <w:bCs/>
          <w:sz w:val="28"/>
          <w:szCs w:val="28"/>
        </w:rPr>
        <w:t>Прочие расходы на содержание органов местного самоуправления</w:t>
      </w:r>
      <w:r w:rsidRPr="008A32E5">
        <w:rPr>
          <w:rFonts w:ascii="Times New Roman" w:hAnsi="Times New Roman" w:cs="Times New Roman"/>
          <w:bCs/>
          <w:sz w:val="28"/>
          <w:szCs w:val="28"/>
        </w:rPr>
        <w:br/>
      </w:r>
      <w:r w:rsidRPr="008A32E5">
        <w:rPr>
          <w:rFonts w:ascii="Times New Roman" w:hAnsi="Times New Roman" w:cs="Times New Roman"/>
          <w:sz w:val="28"/>
          <w:szCs w:val="28"/>
        </w:rPr>
        <w:t xml:space="preserve">городских, сельских поселений </w:t>
      </w:r>
      <w:r w:rsidRPr="008A32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A32E5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Start"/>
      <w:r w:rsidRPr="008A32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gramEnd"/>
      <w:r w:rsidRPr="008A32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мо</w:t>
      </w:r>
      <w:proofErr w:type="spellEnd"/>
      <w:r w:rsidRPr="008A32E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A32E5">
        <w:rPr>
          <w:rFonts w:ascii="Times New Roman" w:hAnsi="Times New Roman" w:cs="Times New Roman"/>
          <w:sz w:val="28"/>
          <w:szCs w:val="28"/>
        </w:rPr>
        <w:t>рассчитываются по формуле:</w:t>
      </w:r>
    </w:p>
    <w:p w:rsidR="000021B3" w:rsidRPr="008A32E5" w:rsidRDefault="000021B3" w:rsidP="000021B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tabs>
          <w:tab w:val="left" w:pos="993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2E5">
        <w:rPr>
          <w:rFonts w:ascii="Times New Roman" w:hAnsi="Times New Roman" w:cs="Times New Roman"/>
          <w:sz w:val="28"/>
          <w:szCs w:val="28"/>
        </w:rPr>
        <w:t>ПР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iмо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Р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мунi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Р</w:t>
      </w:r>
      <w:r w:rsidRPr="008A32E5">
        <w:rPr>
          <w:rFonts w:ascii="Times New Roman" w:hAnsi="Times New Roman" w:cs="Times New Roman"/>
          <w:sz w:val="28"/>
          <w:szCs w:val="28"/>
          <w:vertAlign w:val="subscript"/>
        </w:rPr>
        <w:t>служi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0,1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 w:rsidRPr="008A32E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A32E5">
        <w:rPr>
          <w:rFonts w:ascii="Times New Roman" w:hAnsi="Times New Roman" w:cs="Times New Roman"/>
          <w:sz w:val="28"/>
          <w:szCs w:val="28"/>
        </w:rPr>
        <w:t xml:space="preserve"> КТД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0021B3" w:rsidRPr="008A32E5" w:rsidRDefault="000021B3" w:rsidP="000021B3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color w:val="000000"/>
          <w:sz w:val="28"/>
          <w:szCs w:val="28"/>
        </w:rPr>
        <w:t xml:space="preserve">КУ – </w:t>
      </w:r>
      <w:r w:rsidRPr="008A32E5">
        <w:rPr>
          <w:rFonts w:ascii="Times New Roman" w:hAnsi="Times New Roman" w:cs="Times New Roman"/>
          <w:sz w:val="28"/>
          <w:szCs w:val="28"/>
        </w:rPr>
        <w:t>коэффициент удорожания материальных затрат, применяемый для органов местного самоуправления муниципального района,  относящийся к районам Крайнего Севера и приравненным к ним местностям, равный 1,6;</w:t>
      </w:r>
    </w:p>
    <w:p w:rsidR="000021B3" w:rsidRPr="008A32E5" w:rsidRDefault="000021B3" w:rsidP="000021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color w:val="000000"/>
          <w:sz w:val="28"/>
          <w:szCs w:val="28"/>
        </w:rPr>
        <w:t xml:space="preserve">КТД – коэффициент транспортной доступности, рассчитанный в соответствии с Методикой </w:t>
      </w:r>
      <w:r w:rsidRPr="008A32E5">
        <w:rPr>
          <w:rFonts w:ascii="Times New Roman" w:hAnsi="Times New Roman" w:cs="Times New Roman"/>
          <w:sz w:val="28"/>
          <w:szCs w:val="28"/>
        </w:rPr>
        <w:t xml:space="preserve">расчета и распределения дотаций на выравнивание бюджетной обеспеченности муниципальных районов, в том числе порядком расчета и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установления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заменяющих часть указанных дотаций дополнительных нормативов отчислений от налога на доходы физических лиц в бюджеты муниципальных районов, а также порядком определения критерия выравнивания расчетной бюджетной обеспеченности муниципальных районов, являющимися приложением 4 к Закону Забайкальского края от 20 декабря 2011 года № 608-ЗЗК «О межбюджетных отношениях в Забайкальском крае»;</w:t>
      </w:r>
    </w:p>
    <w:p w:rsidR="000021B3" w:rsidRPr="008A32E5" w:rsidRDefault="000021B3" w:rsidP="000021B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8. Органы местного самоуправления обеспечивают соблюдение нормативов формирования расходов при условии соблюдения следующих условий оплаты труда: </w:t>
      </w:r>
    </w:p>
    <w:p w:rsidR="000021B3" w:rsidRPr="008A32E5" w:rsidRDefault="000021B3" w:rsidP="000021B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1) размер денежного вознаграждения главы городского, сельского поселения, возглавляющего местную администрацию, составляет ежемесячно 6,2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0021B3" w:rsidRPr="008A32E5" w:rsidRDefault="000021B3" w:rsidP="000021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8A32E5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8A32E5">
        <w:rPr>
          <w:rFonts w:ascii="Times New Roman" w:hAnsi="Times New Roman" w:cs="Times New Roman"/>
          <w:sz w:val="28"/>
          <w:szCs w:val="28"/>
        </w:rPr>
        <w:t xml:space="preserve"> должностного оклада главы городского, сельского поселения по соответствующей группе оплаты труда, определенной приложением</w:t>
      </w:r>
      <w:r w:rsidRPr="008A32E5">
        <w:rPr>
          <w:rFonts w:ascii="Times New Roman" w:hAnsi="Times New Roman" w:cs="Times New Roman"/>
          <w:sz w:val="28"/>
          <w:szCs w:val="28"/>
        </w:rPr>
        <w:br/>
      </w:r>
      <w:r w:rsidRPr="008A32E5">
        <w:rPr>
          <w:rFonts w:ascii="Times New Roman" w:hAnsi="Times New Roman" w:cs="Times New Roman"/>
          <w:sz w:val="28"/>
          <w:szCs w:val="28"/>
        </w:rPr>
        <w:lastRenderedPageBreak/>
        <w:t>№ 5 к настоящей Методике, не может превышать размеры, установленные приложением № 2 к настоящей Методике;</w:t>
      </w:r>
    </w:p>
    <w:p w:rsidR="000021B3" w:rsidRPr="008A32E5" w:rsidRDefault="000021B3" w:rsidP="000021B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history="1">
        <w:r w:rsidRPr="008A32E5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8A32E5">
        <w:rPr>
          <w:rFonts w:ascii="Times New Roman" w:hAnsi="Times New Roman" w:cs="Times New Roman"/>
          <w:sz w:val="28"/>
          <w:szCs w:val="28"/>
        </w:rPr>
        <w:t xml:space="preserve"> должностного оклада муниципального служащего по соответствующей должности муниципальной службы органов местного самоуправления городского, сельского поселения не может превышать размеры, установленные приложением № 3 к настоящей Методике;</w:t>
      </w:r>
    </w:p>
    <w:p w:rsidR="000021B3" w:rsidRPr="008A32E5" w:rsidRDefault="000021B3" w:rsidP="000021B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4) размер фонда оплаты труда лиц, замещающих муниципальные должности на постоянной основе, муниципальных служащих органов местного самоуправления в расчете на год не может превышать размеры, установленные приложением № 4 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0021B3" w:rsidRPr="008A32E5" w:rsidRDefault="000021B3" w:rsidP="000021B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лиц, замещающих муниципальные должности на постоянной основе, муниципальных служащих органов местного самоуправления городских, сельских поселений кроме средств, предусмотренных </w:t>
      </w:r>
      <w:hyperlink w:anchor="P383" w:history="1">
        <w:r w:rsidRPr="008A32E5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</w:hyperlink>
      <w:r w:rsidRPr="008A32E5">
        <w:rPr>
          <w:rFonts w:ascii="Times New Roman" w:hAnsi="Times New Roman" w:cs="Times New Roman"/>
          <w:sz w:val="28"/>
          <w:szCs w:val="28"/>
        </w:rPr>
        <w:t xml:space="preserve"> 4 к настоящей Методике, предусматриваются средства на выплату надбавок за работу в местностях с особыми климатическими условиями.</w:t>
      </w:r>
    </w:p>
    <w:p w:rsidR="000021B3" w:rsidRPr="008A32E5" w:rsidRDefault="000021B3" w:rsidP="000021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32E5">
        <w:rPr>
          <w:rFonts w:ascii="Times New Roman" w:hAnsi="Times New Roman" w:cs="Times New Roman"/>
          <w:sz w:val="28"/>
          <w:szCs w:val="28"/>
          <w:lang w:eastAsia="en-US"/>
        </w:rPr>
        <w:t xml:space="preserve">9. Органы местного самоуправления муниципального района «Чернышевский район» для органов местного самоуправления городских, сельских поселений, входящих в состав муниципального района «Чернышевский район», в </w:t>
      </w:r>
      <w:proofErr w:type="gramStart"/>
      <w:r w:rsidRPr="008A32E5">
        <w:rPr>
          <w:rFonts w:ascii="Times New Roman" w:hAnsi="Times New Roman" w:cs="Times New Roman"/>
          <w:sz w:val="28"/>
          <w:szCs w:val="28"/>
          <w:lang w:eastAsia="en-US"/>
        </w:rPr>
        <w:t>бюджетах</w:t>
      </w:r>
      <w:proofErr w:type="gramEnd"/>
      <w:r w:rsidRPr="008A32E5">
        <w:rPr>
          <w:rFonts w:ascii="Times New Roman" w:hAnsi="Times New Roman" w:cs="Times New Roman"/>
          <w:sz w:val="28"/>
          <w:szCs w:val="28"/>
          <w:lang w:eastAsia="en-US"/>
        </w:rPr>
        <w:t xml:space="preserve">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</w:r>
      <w:proofErr w:type="gramStart"/>
      <w:r w:rsidRPr="008A32E5">
        <w:rPr>
          <w:rFonts w:ascii="Times New Roman" w:hAnsi="Times New Roman" w:cs="Times New Roman"/>
          <w:sz w:val="28"/>
          <w:szCs w:val="28"/>
          <w:lang w:eastAsia="en-US"/>
        </w:rPr>
        <w:t>в течение двух из трех последних отчетных финансовых лет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ежегодно устанавливают норматив формирования расходов на оплату труда депутатов, выборных должностных лиц местного самоуправления городских, сельских поселений, осуществляющих свои</w:t>
      </w:r>
      <w:proofErr w:type="gramEnd"/>
      <w:r w:rsidRPr="008A32E5">
        <w:rPr>
          <w:rFonts w:ascii="Times New Roman" w:hAnsi="Times New Roman" w:cs="Times New Roman"/>
          <w:sz w:val="28"/>
          <w:szCs w:val="28"/>
          <w:lang w:eastAsia="en-US"/>
        </w:rPr>
        <w:t xml:space="preserve"> полномочия на постоянной основе, муниципальных служащих органов местного самоуправления городских, сельских поселений и (или) содержание органов местного самоуправления поселений в соответствии с настоящей Методикой.</w:t>
      </w:r>
    </w:p>
    <w:p w:rsidR="000021B3" w:rsidRPr="008A32E5" w:rsidRDefault="000021B3" w:rsidP="000021B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целях установления норматива формирования расходов для органов местного самоуправления городских, сельских поселений органы местного самоуправления муниципального района «Чернышевский район» определяют конкретные размеры должностных окладов</w:t>
      </w:r>
      <w:r w:rsidRPr="008A32E5">
        <w:rPr>
          <w:rFonts w:ascii="Times New Roman" w:hAnsi="Times New Roman" w:cs="Times New Roman"/>
          <w:sz w:val="28"/>
          <w:szCs w:val="28"/>
        </w:rPr>
        <w:t xml:space="preserve"> лиц, замещающих на постоянной основе муниципальные должности </w:t>
      </w:r>
      <w:r w:rsidRPr="008A32E5">
        <w:rPr>
          <w:rFonts w:ascii="Times New Roman" w:hAnsi="Times New Roman" w:cs="Times New Roman"/>
          <w:sz w:val="28"/>
          <w:szCs w:val="28"/>
          <w:lang w:eastAsia="en-US"/>
        </w:rPr>
        <w:t>органов местного самоуправления городских, сельских поселений, в соответствии с настоящей Методикой.</w:t>
      </w:r>
      <w:r w:rsidRPr="008A32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21B3" w:rsidRPr="008A32E5" w:rsidRDefault="000021B3" w:rsidP="00002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10. Условием оказания дополнительной финансовой помощи бюджетам городских, сельских поселений является соблюдение настоящей Методики.</w:t>
      </w:r>
    </w:p>
    <w:p w:rsidR="000021B3" w:rsidRPr="008A32E5" w:rsidRDefault="000021B3" w:rsidP="000021B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11. Увеличение (индексация) должностных окладов глав городских, сельских поселений осуществляется в размерах и в сроки, которые предусмотрены для увеличения (индексации) денежного содержания государственных гражданских служащих Забайкальского края.</w:t>
      </w:r>
    </w:p>
    <w:p w:rsidR="000021B3" w:rsidRPr="008A32E5" w:rsidRDefault="000021B3" w:rsidP="000021B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соблюдением норматива формирования  на содержание органов местного самоуправления городских, сельских поселений муниципального района «Чернышевский район» осуществляется Комитетом по финансам администрации муниципального района «Чернышевский район»:</w:t>
      </w:r>
    </w:p>
    <w:p w:rsidR="000021B3" w:rsidRPr="008A32E5" w:rsidRDefault="000021B3" w:rsidP="000021B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1) в течение 20 рабочих дней после дня сдачи квартальной отчетности на основании Отчета об исполнении бюджета (форма 0503117) – по плановым назначениям и кассовому исполнению в отношении промежуточного контроля;</w:t>
      </w:r>
    </w:p>
    <w:p w:rsidR="000021B3" w:rsidRPr="008A32E5" w:rsidRDefault="000021B3" w:rsidP="000021B3">
      <w:pPr>
        <w:pStyle w:val="a4"/>
        <w:ind w:left="0" w:firstLine="709"/>
        <w:jc w:val="both"/>
        <w:rPr>
          <w:sz w:val="28"/>
          <w:szCs w:val="28"/>
        </w:rPr>
      </w:pPr>
      <w:r w:rsidRPr="008A32E5">
        <w:rPr>
          <w:sz w:val="28"/>
          <w:szCs w:val="28"/>
        </w:rPr>
        <w:t>2) в течение 20 рабочих дней после дня сдачи годовой отчетности на основании Отчета о расходах и численности работников органов местного самоуправления, избирательных комиссий муниципальных образований (форма 14МО, код 0503075) – по плановым назначениям и фактическим произведенным расходам в отношении окончательного контроля.</w:t>
      </w:r>
    </w:p>
    <w:p w:rsidR="000021B3" w:rsidRPr="008A32E5" w:rsidRDefault="000021B3" w:rsidP="000021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8A3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32E5">
        <w:rPr>
          <w:rFonts w:ascii="Times New Roman" w:hAnsi="Times New Roman" w:cs="Times New Roman"/>
          <w:sz w:val="28"/>
          <w:szCs w:val="28"/>
        </w:rPr>
        <w:t xml:space="preserve"> соблюдением норматива формирования расходов городских, сельских поселений осуществляется органами местного самоуправления муниципальных районов в сроки, установленные в пункте 12 настоящей Методики. </w:t>
      </w:r>
    </w:p>
    <w:p w:rsidR="000021B3" w:rsidRPr="008A32E5" w:rsidRDefault="000021B3" w:rsidP="000021B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14. В случае превышения норматива формирования расходов в отчетном финансовом году норматив формирования расходов на текущий финансовый год сокращается на сумму допущенного превышения исходя из фактически произведенных расходов.</w:t>
      </w:r>
    </w:p>
    <w:p w:rsidR="000021B3" w:rsidRPr="008A32E5" w:rsidRDefault="000021B3" w:rsidP="000021B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15. Норматив формирования расходов на текущий финансовый год утверждается в течение 25 рабочих дней после дня сдачи консолидированной годовой отчетности в сроки, устанавливаемые приказом Федерального </w:t>
      </w:r>
      <w:r w:rsidRPr="008A32E5">
        <w:rPr>
          <w:rFonts w:ascii="Times New Roman" w:hAnsi="Times New Roman" w:cs="Times New Roman"/>
          <w:sz w:val="28"/>
          <w:szCs w:val="28"/>
        </w:rPr>
        <w:lastRenderedPageBreak/>
        <w:t>казначейства для сдачи месячной, квартальной и годовой бюджетной отчетности.</w:t>
      </w:r>
    </w:p>
    <w:p w:rsidR="000021B3" w:rsidRPr="008A32E5" w:rsidRDefault="000021B3" w:rsidP="000021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__________________</w:t>
      </w:r>
      <w:r w:rsidRPr="008A32E5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Pr="008A32E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ПРИЛОЖЕНИЕ № 1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8A32E5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bCs/>
          <w:sz w:val="28"/>
          <w:szCs w:val="28"/>
        </w:rPr>
        <w:t>на содержание органов местного самоуправления городских, сельских поселений муниципального района «Чернышевский район»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РАСЧЕТНАЯ НОРМАТИВНАЯ ЧИСЛЕННОСТЬ</w:t>
      </w:r>
    </w:p>
    <w:p w:rsidR="000021B3" w:rsidRPr="008A32E5" w:rsidRDefault="000021B3" w:rsidP="000021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на постоянной основе, и муниципальных служащих администрации сельского поселения «Алеурское» Чернышевский район» 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3" w:type="dxa"/>
        <w:tblInd w:w="93" w:type="dxa"/>
        <w:tblLook w:val="04A0"/>
      </w:tblPr>
      <w:tblGrid>
        <w:gridCol w:w="866"/>
        <w:gridCol w:w="6237"/>
        <w:gridCol w:w="2120"/>
      </w:tblGrid>
      <w:tr w:rsidR="000021B3" w:rsidRPr="008A32E5" w:rsidTr="00F51ECB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Расчетная нормативная численность, единицы</w:t>
            </w:r>
          </w:p>
        </w:tc>
      </w:tr>
    </w:tbl>
    <w:p w:rsidR="000021B3" w:rsidRPr="008A32E5" w:rsidRDefault="000021B3" w:rsidP="00002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3" w:type="dxa"/>
        <w:tblInd w:w="93" w:type="dxa"/>
        <w:tblLook w:val="04A0"/>
      </w:tblPr>
      <w:tblGrid>
        <w:gridCol w:w="866"/>
        <w:gridCol w:w="6237"/>
        <w:gridCol w:w="2120"/>
      </w:tblGrid>
      <w:tr w:rsidR="000021B3" w:rsidRPr="008A32E5" w:rsidTr="00F51ECB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B3" w:rsidRPr="008A32E5" w:rsidRDefault="000021B3" w:rsidP="00F51EC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B3" w:rsidRPr="008A32E5" w:rsidRDefault="000021B3" w:rsidP="00F51EC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Муниципальный район «Чернышевский район»,</w:t>
            </w:r>
            <w:r w:rsidRPr="008A3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поселениям: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021B3" w:rsidRPr="008A32E5" w:rsidTr="00F51ECB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B3" w:rsidRPr="008A32E5" w:rsidRDefault="000021B3" w:rsidP="00F5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B3" w:rsidRPr="008A32E5" w:rsidRDefault="000021B3" w:rsidP="00F5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Сельское поселение «Алеурское»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</w:tbl>
    <w:p w:rsidR="000021B3" w:rsidRPr="008A32E5" w:rsidRDefault="000021B3" w:rsidP="00002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_______________</w:t>
      </w:r>
    </w:p>
    <w:p w:rsidR="000021B3" w:rsidRPr="008A32E5" w:rsidRDefault="000021B3" w:rsidP="000021B3">
      <w:pPr>
        <w:pStyle w:val="5"/>
        <w:tabs>
          <w:tab w:val="left" w:pos="284"/>
        </w:tabs>
        <w:spacing w:line="360" w:lineRule="auto"/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br w:type="page"/>
      </w: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8A32E5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bCs/>
          <w:sz w:val="28"/>
          <w:szCs w:val="28"/>
        </w:rPr>
        <w:t>на содержание органов местного самоуправления городских, сельских поселений муниципального района «Чернышевский район»</w:t>
      </w:r>
    </w:p>
    <w:p w:rsidR="000021B3" w:rsidRPr="008A32E5" w:rsidRDefault="000021B3" w:rsidP="000021B3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0021B3" w:rsidRPr="008A32E5" w:rsidRDefault="000021B3" w:rsidP="000021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главы сельского поселения</w:t>
      </w:r>
    </w:p>
    <w:p w:rsidR="000021B3" w:rsidRPr="008A32E5" w:rsidRDefault="000021B3" w:rsidP="000021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E5">
        <w:rPr>
          <w:rFonts w:ascii="Times New Roman" w:hAnsi="Times New Roman" w:cs="Times New Roman"/>
          <w:b/>
          <w:sz w:val="28"/>
          <w:szCs w:val="28"/>
        </w:rPr>
        <w:t xml:space="preserve"> «Алеурское» муниципального района «Чернышевский район»</w:t>
      </w:r>
    </w:p>
    <w:p w:rsidR="000021B3" w:rsidRPr="008A32E5" w:rsidRDefault="000021B3" w:rsidP="000021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2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1953"/>
        <w:gridCol w:w="1953"/>
      </w:tblGrid>
      <w:tr w:rsidR="000021B3" w:rsidRPr="008A32E5" w:rsidTr="00F51ECB">
        <w:tc>
          <w:tcPr>
            <w:tcW w:w="93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0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  <w:tc>
          <w:tcPr>
            <w:tcW w:w="3906" w:type="dxa"/>
            <w:gridSpan w:val="2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0021B3" w:rsidRPr="008A32E5" w:rsidTr="00F51ECB">
        <w:trPr>
          <w:trHeight w:val="244"/>
        </w:trPr>
        <w:tc>
          <w:tcPr>
            <w:tcW w:w="9282" w:type="dxa"/>
            <w:gridSpan w:val="4"/>
          </w:tcPr>
          <w:p w:rsidR="000021B3" w:rsidRPr="008A32E5" w:rsidRDefault="000021B3" w:rsidP="000021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</w:tr>
      <w:tr w:rsidR="000021B3" w:rsidRPr="008A32E5" w:rsidTr="00F51ECB">
        <w:trPr>
          <w:trHeight w:val="246"/>
        </w:trPr>
        <w:tc>
          <w:tcPr>
            <w:tcW w:w="93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906" w:type="dxa"/>
            <w:gridSpan w:val="2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4 638</w:t>
            </w:r>
          </w:p>
        </w:tc>
      </w:tr>
      <w:tr w:rsidR="000021B3" w:rsidRPr="008A32E5" w:rsidTr="00F51ECB">
        <w:trPr>
          <w:trHeight w:val="235"/>
        </w:trPr>
        <w:tc>
          <w:tcPr>
            <w:tcW w:w="93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0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906" w:type="dxa"/>
            <w:gridSpan w:val="2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4 407</w:t>
            </w:r>
          </w:p>
        </w:tc>
      </w:tr>
      <w:tr w:rsidR="000021B3" w:rsidRPr="008A32E5" w:rsidTr="00F51ECB">
        <w:trPr>
          <w:trHeight w:val="240"/>
        </w:trPr>
        <w:tc>
          <w:tcPr>
            <w:tcW w:w="936" w:type="dxa"/>
            <w:vMerge w:val="restart"/>
          </w:tcPr>
          <w:p w:rsidR="000021B3" w:rsidRPr="008A32E5" w:rsidRDefault="000021B3" w:rsidP="00F5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021B3" w:rsidRPr="008A32E5" w:rsidRDefault="000021B3" w:rsidP="00F5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 xml:space="preserve">    7.</w:t>
            </w:r>
          </w:p>
        </w:tc>
        <w:tc>
          <w:tcPr>
            <w:tcW w:w="4440" w:type="dxa"/>
            <w:vMerge w:val="restart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1953" w:type="dxa"/>
          </w:tcPr>
          <w:p w:rsidR="000021B3" w:rsidRPr="008A32E5" w:rsidRDefault="000021B3" w:rsidP="00F5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 xml:space="preserve">    1 подгруппа</w:t>
            </w:r>
          </w:p>
        </w:tc>
        <w:tc>
          <w:tcPr>
            <w:tcW w:w="1953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4 187</w:t>
            </w:r>
          </w:p>
        </w:tc>
      </w:tr>
      <w:tr w:rsidR="000021B3" w:rsidRPr="008A32E5" w:rsidTr="00F51ECB">
        <w:trPr>
          <w:trHeight w:val="229"/>
        </w:trPr>
        <w:tc>
          <w:tcPr>
            <w:tcW w:w="936" w:type="dxa"/>
            <w:vMerge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  <w:tc>
          <w:tcPr>
            <w:tcW w:w="1953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4 105</w:t>
            </w:r>
          </w:p>
        </w:tc>
      </w:tr>
    </w:tbl>
    <w:p w:rsidR="000021B3" w:rsidRPr="008A32E5" w:rsidRDefault="000021B3" w:rsidP="000021B3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_______________</w:t>
      </w: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br w:type="page"/>
      </w:r>
      <w:r w:rsidRPr="008A32E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8A32E5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bCs/>
          <w:sz w:val="28"/>
          <w:szCs w:val="28"/>
        </w:rPr>
        <w:t>на содержание органов местного самоуправления городских, сельских поселений муниципального района «Чернышевский район»</w:t>
      </w:r>
    </w:p>
    <w:p w:rsidR="000021B3" w:rsidRPr="008A32E5" w:rsidRDefault="000021B3" w:rsidP="000021B3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РАЗМЕРЫ</w:t>
      </w:r>
    </w:p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городского, сельского поселения</w:t>
      </w:r>
    </w:p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 по соответствующей должности</w:t>
      </w:r>
    </w:p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826"/>
        <w:gridCol w:w="2535"/>
        <w:gridCol w:w="2394"/>
      </w:tblGrid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Должности</w:t>
            </w:r>
          </w:p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службы</w:t>
            </w:r>
          </w:p>
        </w:tc>
        <w:tc>
          <w:tcPr>
            <w:tcW w:w="2535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Должностной оклад</w:t>
            </w:r>
          </w:p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процентах от должностного оклада главы городского поселения</w:t>
            </w:r>
          </w:p>
        </w:tc>
        <w:tc>
          <w:tcPr>
            <w:tcW w:w="2394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Должностной оклад</w:t>
            </w:r>
          </w:p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процентах от должностного оклада главы сельского поселения</w:t>
            </w:r>
          </w:p>
        </w:tc>
      </w:tr>
    </w:tbl>
    <w:p w:rsidR="000021B3" w:rsidRPr="008A32E5" w:rsidRDefault="000021B3" w:rsidP="000021B3">
      <w:pPr>
        <w:pStyle w:val="Title"/>
        <w:tabs>
          <w:tab w:val="left" w:pos="993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2552"/>
        <w:gridCol w:w="2375"/>
      </w:tblGrid>
      <w:tr w:rsidR="000021B3" w:rsidRPr="008A32E5" w:rsidTr="00F51ECB">
        <w:trPr>
          <w:tblHeader/>
        </w:trPr>
        <w:tc>
          <w:tcPr>
            <w:tcW w:w="817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0021B3" w:rsidRPr="008A32E5" w:rsidTr="00F51ECB">
        <w:tc>
          <w:tcPr>
            <w:tcW w:w="817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8754" w:type="dxa"/>
            <w:gridSpan w:val="3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0021B3" w:rsidRPr="008A32E5" w:rsidTr="00F51ECB">
        <w:tc>
          <w:tcPr>
            <w:tcW w:w="817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8754" w:type="dxa"/>
            <w:gridSpan w:val="3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Высшая группа должностей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1.1.1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администрации сельского поселения</w:t>
            </w:r>
            <w:proofErr w:type="gramStart"/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100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1.1.2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Руководитель аппарата представительного органа городского  поселения</w:t>
            </w:r>
            <w:proofErr w:type="gramStart"/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75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0021B3" w:rsidRPr="008A32E5" w:rsidTr="00F51ECB">
        <w:tc>
          <w:tcPr>
            <w:tcW w:w="817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8754" w:type="dxa"/>
            <w:gridSpan w:val="3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Главная группа должностей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1.2.1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руководителя администрации городского, сельского поселения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80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80</w:t>
            </w:r>
          </w:p>
        </w:tc>
      </w:tr>
      <w:tr w:rsidR="000021B3" w:rsidRPr="008A32E5" w:rsidTr="00F51ECB">
        <w:tc>
          <w:tcPr>
            <w:tcW w:w="817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8754" w:type="dxa"/>
            <w:gridSpan w:val="3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Ведущая группа должностей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1.3.1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администрации городского, сельского поселения</w:t>
            </w:r>
            <w:proofErr w:type="gramStart"/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60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8754" w:type="dxa"/>
            <w:gridSpan w:val="3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Должности категории «специалисты»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8754" w:type="dxa"/>
            <w:gridSpan w:val="3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Ведущая группа должностей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2.1.1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начальника отдела администрации городского, сельского поселения</w:t>
            </w:r>
            <w:proofErr w:type="gramStart"/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55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2.1.2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Консультант</w:t>
            </w: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53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70</w:t>
            </w:r>
          </w:p>
        </w:tc>
      </w:tr>
      <w:tr w:rsidR="000021B3" w:rsidRPr="008A32E5" w:rsidTr="00F51ECB">
        <w:tc>
          <w:tcPr>
            <w:tcW w:w="817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2.2</w:t>
            </w:r>
          </w:p>
        </w:tc>
        <w:tc>
          <w:tcPr>
            <w:tcW w:w="8754" w:type="dxa"/>
            <w:gridSpan w:val="3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Старшая группа должностей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2.2.1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51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68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2.2.2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 специалист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49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66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8754" w:type="dxa"/>
            <w:gridSpan w:val="3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Должности категории «обеспечивающие специалисты»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8754" w:type="dxa"/>
            <w:gridSpan w:val="3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Старшая группа должностей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3.1.1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47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63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3.1.2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Старший специалист 2 разряда 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46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62</w:t>
            </w:r>
          </w:p>
        </w:tc>
      </w:tr>
      <w:tr w:rsidR="000021B3" w:rsidRPr="008A32E5" w:rsidTr="00F51ECB">
        <w:tc>
          <w:tcPr>
            <w:tcW w:w="817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3.2</w:t>
            </w:r>
          </w:p>
        </w:tc>
        <w:tc>
          <w:tcPr>
            <w:tcW w:w="8754" w:type="dxa"/>
            <w:gridSpan w:val="3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Младшая группа должностей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3.2.1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разряда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45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61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3.2.2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2 разряда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44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60</w:t>
            </w:r>
          </w:p>
        </w:tc>
      </w:tr>
      <w:tr w:rsidR="000021B3" w:rsidRPr="008A32E5" w:rsidTr="00F51ECB">
        <w:tc>
          <w:tcPr>
            <w:tcW w:w="81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3.2.3</w:t>
            </w:r>
          </w:p>
        </w:tc>
        <w:tc>
          <w:tcPr>
            <w:tcW w:w="3827" w:type="dxa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3 разряда</w:t>
            </w:r>
          </w:p>
        </w:tc>
        <w:tc>
          <w:tcPr>
            <w:tcW w:w="2552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43</w:t>
            </w:r>
          </w:p>
        </w:tc>
        <w:tc>
          <w:tcPr>
            <w:tcW w:w="2375" w:type="dxa"/>
            <w:vAlign w:val="center"/>
          </w:tcPr>
          <w:p w:rsidR="000021B3" w:rsidRPr="008A32E5" w:rsidRDefault="000021B3" w:rsidP="00F51ECB">
            <w:pPr>
              <w:pStyle w:val="Title"/>
              <w:tabs>
                <w:tab w:val="left" w:pos="993"/>
              </w:tabs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 59</w:t>
            </w:r>
          </w:p>
        </w:tc>
      </w:tr>
    </w:tbl>
    <w:p w:rsidR="000021B3" w:rsidRPr="008A32E5" w:rsidRDefault="000021B3" w:rsidP="000021B3">
      <w:pPr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021B3" w:rsidRPr="008A32E5" w:rsidRDefault="000021B3" w:rsidP="000021B3">
      <w:pPr>
        <w:pStyle w:val="a5"/>
        <w:rPr>
          <w:rFonts w:ascii="Times New Roman" w:hAnsi="Times New Roman"/>
          <w:sz w:val="28"/>
          <w:szCs w:val="28"/>
        </w:rPr>
      </w:pPr>
      <w:r w:rsidRPr="008A32E5">
        <w:rPr>
          <w:rStyle w:val="a7"/>
          <w:rFonts w:ascii="Times New Roman" w:hAnsi="Times New Roman"/>
          <w:sz w:val="28"/>
          <w:szCs w:val="28"/>
        </w:rPr>
        <w:t>1</w:t>
      </w:r>
      <w:r w:rsidRPr="008A32E5">
        <w:rPr>
          <w:rFonts w:ascii="Times New Roman" w:hAnsi="Times New Roman"/>
          <w:sz w:val="28"/>
          <w:szCs w:val="28"/>
        </w:rPr>
        <w:t xml:space="preserve"> В случае, когда глава сельского поселения исполняет полномочия председателя представительного органа сельского поселения.</w:t>
      </w:r>
    </w:p>
    <w:p w:rsidR="000021B3" w:rsidRPr="008A32E5" w:rsidRDefault="000021B3" w:rsidP="000021B3">
      <w:pPr>
        <w:pStyle w:val="a5"/>
        <w:rPr>
          <w:rFonts w:ascii="Times New Roman" w:hAnsi="Times New Roman"/>
          <w:sz w:val="28"/>
          <w:szCs w:val="28"/>
        </w:rPr>
      </w:pPr>
      <w:r w:rsidRPr="008A32E5">
        <w:rPr>
          <w:rStyle w:val="a7"/>
          <w:rFonts w:ascii="Times New Roman" w:hAnsi="Times New Roman"/>
          <w:sz w:val="28"/>
          <w:szCs w:val="28"/>
        </w:rPr>
        <w:t>2</w:t>
      </w:r>
      <w:r w:rsidRPr="008A32E5">
        <w:rPr>
          <w:rFonts w:ascii="Times New Roman" w:hAnsi="Times New Roman"/>
          <w:sz w:val="28"/>
          <w:szCs w:val="28"/>
        </w:rPr>
        <w:t xml:space="preserve"> Для поселений с численностью населения более 50 000 человек.</w:t>
      </w:r>
    </w:p>
    <w:p w:rsidR="000021B3" w:rsidRPr="008A32E5" w:rsidRDefault="000021B3" w:rsidP="000021B3">
      <w:pPr>
        <w:pStyle w:val="a5"/>
        <w:rPr>
          <w:rFonts w:ascii="Times New Roman" w:hAnsi="Times New Roman"/>
          <w:sz w:val="28"/>
          <w:szCs w:val="28"/>
        </w:rPr>
      </w:pPr>
      <w:r w:rsidRPr="008A32E5">
        <w:rPr>
          <w:rStyle w:val="a7"/>
          <w:rFonts w:ascii="Times New Roman" w:hAnsi="Times New Roman"/>
          <w:sz w:val="28"/>
          <w:szCs w:val="28"/>
        </w:rPr>
        <w:t>3</w:t>
      </w:r>
      <w:r w:rsidRPr="008A32E5">
        <w:rPr>
          <w:rFonts w:ascii="Times New Roman" w:hAnsi="Times New Roman"/>
          <w:sz w:val="28"/>
          <w:szCs w:val="28"/>
        </w:rPr>
        <w:t xml:space="preserve"> Для поселений, преобразованных путем объединения поселений</w:t>
      </w:r>
      <w:proofErr w:type="gramStart"/>
      <w:r w:rsidRPr="008A32E5">
        <w:rPr>
          <w:rFonts w:ascii="Times New Roman" w:hAnsi="Times New Roman"/>
          <w:sz w:val="28"/>
          <w:szCs w:val="28"/>
        </w:rPr>
        <w:t>.».</w:t>
      </w:r>
      <w:proofErr w:type="gramEnd"/>
    </w:p>
    <w:p w:rsidR="000021B3" w:rsidRPr="008A32E5" w:rsidRDefault="000021B3" w:rsidP="00002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5"/>
        <w:tabs>
          <w:tab w:val="left" w:pos="284"/>
        </w:tabs>
        <w:spacing w:line="360" w:lineRule="auto"/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8A32E5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bCs/>
          <w:sz w:val="28"/>
          <w:szCs w:val="28"/>
        </w:rPr>
        <w:t>на содержание органов местного самоуправления городских, сельских поселений муниципального района «Чернышевский район»</w:t>
      </w:r>
    </w:p>
    <w:p w:rsidR="000021B3" w:rsidRPr="008A32E5" w:rsidRDefault="000021B3" w:rsidP="000021B3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5"/>
        <w:tabs>
          <w:tab w:val="left" w:pos="284"/>
        </w:tabs>
        <w:spacing w:line="36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 xml:space="preserve">фонда оплаты труда лиц, замещающих муниципальные должности на постоянной основе, муниципальных служащих органов местного самоуправления городских, сельских поселений 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«Чернышевский район»</w:t>
      </w: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82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3906"/>
      </w:tblGrid>
      <w:tr w:rsidR="000021B3" w:rsidRPr="008A32E5" w:rsidTr="00F51ECB">
        <w:tc>
          <w:tcPr>
            <w:tcW w:w="93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0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0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окладов, составляющих фонд оплаты труда</w:t>
            </w:r>
          </w:p>
        </w:tc>
      </w:tr>
      <w:tr w:rsidR="000021B3" w:rsidRPr="008A32E5" w:rsidTr="00F51ECB">
        <w:tc>
          <w:tcPr>
            <w:tcW w:w="93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21B3" w:rsidRPr="008A32E5" w:rsidTr="00F51ECB">
        <w:tc>
          <w:tcPr>
            <w:tcW w:w="93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</w:tcPr>
          <w:p w:rsidR="000021B3" w:rsidRPr="008A32E5" w:rsidRDefault="000021B3" w:rsidP="00F5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городского, сельского поселения, </w:t>
            </w:r>
            <w:proofErr w:type="gramStart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возглавляющий</w:t>
            </w:r>
            <w:proofErr w:type="gramEnd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 xml:space="preserve"> местную администрацию</w:t>
            </w:r>
          </w:p>
        </w:tc>
        <w:tc>
          <w:tcPr>
            <w:tcW w:w="390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0021B3" w:rsidRPr="008A32E5" w:rsidTr="00F51ECB">
        <w:trPr>
          <w:trHeight w:val="1070"/>
        </w:trPr>
        <w:tc>
          <w:tcPr>
            <w:tcW w:w="93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</w:tcPr>
          <w:p w:rsidR="000021B3" w:rsidRPr="008A32E5" w:rsidRDefault="000021B3" w:rsidP="00F5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городского, сельского поселения, </w:t>
            </w:r>
            <w:proofErr w:type="gramStart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8A32E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председателя </w:t>
            </w:r>
            <w:r w:rsidRPr="008A3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представительного органа муниципального образования</w:t>
            </w:r>
          </w:p>
        </w:tc>
        <w:tc>
          <w:tcPr>
            <w:tcW w:w="390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73,4</w:t>
            </w:r>
          </w:p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B3" w:rsidRPr="008A32E5" w:rsidTr="00F51ECB">
        <w:trPr>
          <w:trHeight w:val="420"/>
        </w:trPr>
        <w:tc>
          <w:tcPr>
            <w:tcW w:w="93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0" w:type="dxa"/>
          </w:tcPr>
          <w:p w:rsidR="000021B3" w:rsidRPr="008A32E5" w:rsidRDefault="000021B3" w:rsidP="00F5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</w:t>
            </w:r>
          </w:p>
        </w:tc>
        <w:tc>
          <w:tcPr>
            <w:tcW w:w="3906" w:type="dxa"/>
          </w:tcPr>
          <w:p w:rsidR="000021B3" w:rsidRPr="008A32E5" w:rsidRDefault="000021B3" w:rsidP="00F5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</w:tbl>
    <w:p w:rsidR="000021B3" w:rsidRPr="008A32E5" w:rsidRDefault="000021B3" w:rsidP="00002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>_______________</w:t>
      </w:r>
    </w:p>
    <w:p w:rsidR="000021B3" w:rsidRPr="008A32E5" w:rsidRDefault="000021B3" w:rsidP="000021B3">
      <w:pPr>
        <w:keepNext/>
        <w:spacing w:line="36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br w:type="page"/>
      </w:r>
    </w:p>
    <w:p w:rsidR="000021B3" w:rsidRPr="008A32E5" w:rsidRDefault="000021B3" w:rsidP="000021B3">
      <w:pPr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lastRenderedPageBreak/>
        <w:t>ПРИЛОЖЕНИЕ №  5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32E5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8A32E5"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</w:t>
      </w:r>
    </w:p>
    <w:p w:rsidR="000021B3" w:rsidRPr="008A32E5" w:rsidRDefault="000021B3" w:rsidP="000021B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A32E5">
        <w:rPr>
          <w:rFonts w:ascii="Times New Roman" w:hAnsi="Times New Roman" w:cs="Times New Roman"/>
          <w:bCs/>
          <w:sz w:val="28"/>
          <w:szCs w:val="28"/>
        </w:rPr>
        <w:t>на содержание органов местного самоуправления городских, сельских поселений муниципального района «Чернышевский район»</w:t>
      </w:r>
    </w:p>
    <w:p w:rsidR="000021B3" w:rsidRPr="008A32E5" w:rsidRDefault="000021B3" w:rsidP="000021B3">
      <w:pPr>
        <w:tabs>
          <w:tab w:val="left" w:pos="284"/>
        </w:tabs>
        <w:ind w:left="5103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021B3" w:rsidRPr="008A32E5" w:rsidRDefault="000021B3" w:rsidP="000021B3">
      <w:pPr>
        <w:pStyle w:val="5"/>
        <w:spacing w:line="36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21B3" w:rsidRPr="008A32E5" w:rsidRDefault="000021B3" w:rsidP="000021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:rsidR="000021B3" w:rsidRPr="008A32E5" w:rsidRDefault="000021B3" w:rsidP="000021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оплаты труда городских и сельских поселений</w:t>
      </w:r>
    </w:p>
    <w:p w:rsidR="000021B3" w:rsidRPr="008A32E5" w:rsidRDefault="000021B3" w:rsidP="000021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E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«Чернышевский район»</w:t>
      </w:r>
    </w:p>
    <w:p w:rsidR="000021B3" w:rsidRPr="008A32E5" w:rsidRDefault="000021B3" w:rsidP="000021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888"/>
        <w:gridCol w:w="1184"/>
        <w:gridCol w:w="1980"/>
        <w:gridCol w:w="1989"/>
        <w:gridCol w:w="1959"/>
      </w:tblGrid>
      <w:tr w:rsidR="000021B3" w:rsidRPr="008A32E5" w:rsidTr="00F51ECB">
        <w:trPr>
          <w:trHeight w:val="628"/>
        </w:trPr>
        <w:tc>
          <w:tcPr>
            <w:tcW w:w="648" w:type="dxa"/>
            <w:vMerge w:val="restart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0" w:type="dxa"/>
            <w:vMerge w:val="restart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1 группа (от 10 001 человека и свыше)</w:t>
            </w:r>
          </w:p>
        </w:tc>
        <w:tc>
          <w:tcPr>
            <w:tcW w:w="1645" w:type="dxa"/>
            <w:vMerge w:val="restart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2 группа от (от 5 001 до 10 000 человек)</w:t>
            </w:r>
          </w:p>
        </w:tc>
        <w:tc>
          <w:tcPr>
            <w:tcW w:w="1826" w:type="dxa"/>
            <w:vMerge w:val="restart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3 группа</w:t>
            </w:r>
          </w:p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(от 1 001 до 5 000 человек)</w:t>
            </w:r>
          </w:p>
        </w:tc>
        <w:tc>
          <w:tcPr>
            <w:tcW w:w="3645" w:type="dxa"/>
            <w:gridSpan w:val="2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4 группа</w:t>
            </w:r>
          </w:p>
        </w:tc>
      </w:tr>
      <w:tr w:rsidR="000021B3" w:rsidRPr="008A32E5" w:rsidTr="00F51ECB">
        <w:trPr>
          <w:trHeight w:val="627"/>
        </w:trPr>
        <w:tc>
          <w:tcPr>
            <w:tcW w:w="648" w:type="dxa"/>
            <w:vMerge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6" w:type="dxa"/>
            <w:vMerge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1 подгруппа (от 501 до 1 000 человек)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2 подгруппа</w:t>
            </w:r>
          </w:p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( до 500 человек)</w:t>
            </w:r>
          </w:p>
        </w:tc>
      </w:tr>
      <w:tr w:rsidR="000021B3" w:rsidRPr="008A32E5" w:rsidTr="00F51ECB">
        <w:tc>
          <w:tcPr>
            <w:tcW w:w="648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021B3" w:rsidRPr="008A32E5" w:rsidTr="00F51ECB">
        <w:tc>
          <w:tcPr>
            <w:tcW w:w="648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Чернышевское</w:t>
            </w:r>
            <w:proofErr w:type="spellEnd"/>
          </w:p>
        </w:tc>
        <w:tc>
          <w:tcPr>
            <w:tcW w:w="164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Букачачинское</w:t>
            </w:r>
            <w:proofErr w:type="spellEnd"/>
          </w:p>
        </w:tc>
        <w:tc>
          <w:tcPr>
            <w:tcW w:w="183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Мильгидунское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Гаурское</w:t>
            </w:r>
          </w:p>
        </w:tc>
      </w:tr>
      <w:tr w:rsidR="000021B3" w:rsidRPr="008A32E5" w:rsidTr="00F51ECB">
        <w:tc>
          <w:tcPr>
            <w:tcW w:w="648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Аксеново-Зиловское</w:t>
            </w:r>
          </w:p>
        </w:tc>
        <w:tc>
          <w:tcPr>
            <w:tcW w:w="183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Урюмское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Бушулейское</w:t>
            </w:r>
          </w:p>
        </w:tc>
      </w:tr>
      <w:tr w:rsidR="000021B3" w:rsidRPr="008A32E5" w:rsidTr="00F51ECB">
        <w:tc>
          <w:tcPr>
            <w:tcW w:w="648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Жирекенское</w:t>
            </w:r>
            <w:proofErr w:type="spellEnd"/>
          </w:p>
        </w:tc>
        <w:tc>
          <w:tcPr>
            <w:tcW w:w="183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Старооловское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Новоильинское</w:t>
            </w:r>
          </w:p>
        </w:tc>
      </w:tr>
      <w:tr w:rsidR="000021B3" w:rsidRPr="008A32E5" w:rsidTr="00F51ECB">
        <w:tc>
          <w:tcPr>
            <w:tcW w:w="648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Алеурское</w:t>
            </w:r>
          </w:p>
        </w:tc>
        <w:tc>
          <w:tcPr>
            <w:tcW w:w="183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Укурейское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Ишицское</w:t>
            </w:r>
            <w:proofErr w:type="spellEnd"/>
          </w:p>
        </w:tc>
      </w:tr>
      <w:tr w:rsidR="000021B3" w:rsidRPr="008A32E5" w:rsidTr="00F51ECB">
        <w:tc>
          <w:tcPr>
            <w:tcW w:w="648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Утанское</w:t>
            </w:r>
          </w:p>
        </w:tc>
        <w:tc>
          <w:tcPr>
            <w:tcW w:w="183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Байгульское</w:t>
            </w:r>
            <w:proofErr w:type="spellEnd"/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Курлыченское</w:t>
            </w:r>
          </w:p>
        </w:tc>
      </w:tr>
      <w:tr w:rsidR="000021B3" w:rsidRPr="008A32E5" w:rsidTr="00F51ECB">
        <w:tc>
          <w:tcPr>
            <w:tcW w:w="648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Комсомольское</w:t>
            </w:r>
          </w:p>
        </w:tc>
        <w:tc>
          <w:tcPr>
            <w:tcW w:w="183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Новоловское</w:t>
            </w:r>
            <w:proofErr w:type="spellEnd"/>
          </w:p>
        </w:tc>
      </w:tr>
      <w:tr w:rsidR="000021B3" w:rsidRPr="008A32E5" w:rsidTr="00F51ECB">
        <w:tc>
          <w:tcPr>
            <w:tcW w:w="648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2E5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5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0021B3" w:rsidRPr="008A32E5" w:rsidRDefault="000021B3" w:rsidP="00F5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227E2" w:rsidRDefault="00B227E2"/>
    <w:sectPr w:rsidR="00B227E2" w:rsidSect="00DB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6992"/>
    <w:multiLevelType w:val="hybridMultilevel"/>
    <w:tmpl w:val="875094D0"/>
    <w:lvl w:ilvl="0" w:tplc="864C71E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021B3"/>
    <w:rsid w:val="000021B3"/>
    <w:rsid w:val="00B227E2"/>
    <w:rsid w:val="00DB0C61"/>
    <w:rsid w:val="00D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6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021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1">
    <w:name w:val="ConsPlusNormal1"/>
    <w:link w:val="ConsPlusNormal"/>
    <w:locked/>
    <w:rsid w:val="000021B3"/>
    <w:rPr>
      <w:rFonts w:ascii="Arial" w:eastAsia="Times New Roman" w:hAnsi="Arial" w:cs="Arial"/>
      <w:sz w:val="24"/>
      <w:szCs w:val="20"/>
    </w:rPr>
  </w:style>
  <w:style w:type="paragraph" w:customStyle="1" w:styleId="ConsPlusNormal">
    <w:name w:val="ConsPlusNormal"/>
    <w:link w:val="ConsPlusNormal1"/>
    <w:rsid w:val="000021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0021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styleId="a3">
    <w:name w:val="Hyperlink"/>
    <w:basedOn w:val="a0"/>
    <w:semiHidden/>
    <w:unhideWhenUsed/>
    <w:rsid w:val="000021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2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0021B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021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0021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021B3"/>
    <w:rPr>
      <w:rFonts w:ascii="Calibri" w:eastAsia="Times New Roman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unhideWhenUsed/>
    <w:rsid w:val="000021B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A329B2477412F56BC95285D7604E775B9922457FA21AE78D3649E93E3CEC09964CD0EFD58F9130AA2W6f3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55EA7B79DC2DC0D7169736E5E6F0CB5C978085E4C4AA2DE0A33B2ECFEAB60579B4CEEFB265D3D8E1N7X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ishev.75.ru/" TargetMode="External"/><Relationship Id="rId5" Type="http://schemas.openxmlformats.org/officeDocument/2006/relationships/hyperlink" Target="https://docs.cntd.ru/document/5710577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3165</Words>
  <Characters>18045</Characters>
  <Application>Microsoft Office Word</Application>
  <DocSecurity>0</DocSecurity>
  <Lines>150</Lines>
  <Paragraphs>42</Paragraphs>
  <ScaleCrop>false</ScaleCrop>
  <Company/>
  <LinksUpToDate>false</LinksUpToDate>
  <CharactersWithSpaces>21168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2022-11-23T01:52:00Z</dcterms:created>
  <dcterms:modified xsi:type="dcterms:W3CDTF">2022-11-23T02:04:00Z</dcterms:modified>
</cp:coreProperties>
</file>