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ED1D21">
        <w:rPr>
          <w:sz w:val="28"/>
        </w:rPr>
        <w:t>19</w:t>
      </w:r>
      <w:r w:rsidR="00B32CAA">
        <w:rPr>
          <w:sz w:val="28"/>
        </w:rPr>
        <w:t xml:space="preserve"> </w:t>
      </w:r>
      <w:r w:rsidR="000F7842">
        <w:rPr>
          <w:sz w:val="28"/>
        </w:rPr>
        <w:t xml:space="preserve"> </w:t>
      </w:r>
      <w:r w:rsidR="00362CCC">
        <w:rPr>
          <w:sz w:val="28"/>
        </w:rPr>
        <w:t>апреля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ED1D21">
        <w:rPr>
          <w:sz w:val="28"/>
        </w:rPr>
        <w:t>7</w:t>
      </w:r>
      <w:r w:rsidR="00F333AF">
        <w:rPr>
          <w:sz w:val="28"/>
        </w:rPr>
        <w:t>8</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F333AF" w:rsidRDefault="00F333AF" w:rsidP="00F333AF">
      <w:pPr>
        <w:jc w:val="center"/>
        <w:rPr>
          <w:b/>
          <w:bCs/>
          <w:color w:val="000000"/>
          <w:sz w:val="28"/>
          <w:szCs w:val="28"/>
        </w:rPr>
      </w:pPr>
      <w:r w:rsidRPr="00F333AF">
        <w:rPr>
          <w:b/>
          <w:bCs/>
          <w:color w:val="000000"/>
          <w:sz w:val="28"/>
          <w:szCs w:val="28"/>
        </w:rPr>
        <w:t>Об утверждении нормативов формирования расходов на содержание органов местного самоуправления городских, сельских поселений муниципального района «Чернышевский район» на 2022 год</w:t>
      </w:r>
    </w:p>
    <w:p w:rsidR="00F333AF" w:rsidRPr="00F333AF" w:rsidRDefault="00F333AF" w:rsidP="00F333AF"/>
    <w:p w:rsidR="00F333AF" w:rsidRDefault="00F333AF" w:rsidP="00F333AF">
      <w:pPr>
        <w:ind w:firstLine="709"/>
        <w:jc w:val="both"/>
        <w:rPr>
          <w:b/>
          <w:bCs/>
          <w:color w:val="000000"/>
          <w:sz w:val="28"/>
          <w:szCs w:val="28"/>
        </w:rPr>
      </w:pPr>
      <w:proofErr w:type="gramStart"/>
      <w:r w:rsidRPr="00F333AF">
        <w:rPr>
          <w:color w:val="000000"/>
          <w:sz w:val="28"/>
          <w:szCs w:val="28"/>
        </w:rPr>
        <w:t>В соответствии со статьей 136 Бюджетного кодекса Российской Федерации, решением Совета МР «Чернышевский район» от 28 февраля 2022 года № 24 «Об утверждении Методики расчета нормативов формирования расходов на содержание органов местного самоуправления городских, сельских поселений муниципального района «Чернышевский район»», учитывая установление условий предоставления межбюджетных трансфертов органам местного самоуправления городских, сельских поселений, руководствуясь статьей 25 Устава муниципального района «Чернышевский район», администрация</w:t>
      </w:r>
      <w:proofErr w:type="gramEnd"/>
      <w:r w:rsidRPr="00F333AF">
        <w:rPr>
          <w:color w:val="000000"/>
          <w:sz w:val="28"/>
          <w:szCs w:val="28"/>
        </w:rPr>
        <w:t xml:space="preserve"> муниципального района «Чернышевский район» </w:t>
      </w:r>
      <w:r>
        <w:rPr>
          <w:color w:val="000000"/>
          <w:sz w:val="28"/>
          <w:szCs w:val="28"/>
        </w:rPr>
        <w:t xml:space="preserve">                   </w:t>
      </w:r>
      <w:proofErr w:type="spellStart"/>
      <w:proofErr w:type="gramStart"/>
      <w:r w:rsidRPr="00F333AF">
        <w:rPr>
          <w:b/>
          <w:bCs/>
          <w:color w:val="000000"/>
          <w:sz w:val="28"/>
          <w:szCs w:val="28"/>
        </w:rPr>
        <w:t>п</w:t>
      </w:r>
      <w:proofErr w:type="spellEnd"/>
      <w:proofErr w:type="gramEnd"/>
      <w:r w:rsidRPr="00F333AF">
        <w:rPr>
          <w:b/>
          <w:bCs/>
          <w:color w:val="000000"/>
          <w:sz w:val="28"/>
          <w:szCs w:val="28"/>
        </w:rPr>
        <w:t xml:space="preserve"> о с т а </w:t>
      </w:r>
      <w:proofErr w:type="spellStart"/>
      <w:r w:rsidRPr="00F333AF">
        <w:rPr>
          <w:b/>
          <w:bCs/>
          <w:color w:val="000000"/>
          <w:sz w:val="28"/>
          <w:szCs w:val="28"/>
        </w:rPr>
        <w:t>н</w:t>
      </w:r>
      <w:proofErr w:type="spellEnd"/>
      <w:r w:rsidRPr="00F333AF">
        <w:rPr>
          <w:b/>
          <w:bCs/>
          <w:color w:val="000000"/>
          <w:sz w:val="28"/>
          <w:szCs w:val="28"/>
        </w:rPr>
        <w:t xml:space="preserve"> о в л я е т:</w:t>
      </w:r>
    </w:p>
    <w:p w:rsidR="00F333AF" w:rsidRPr="00F333AF" w:rsidRDefault="00F333AF" w:rsidP="00F333AF">
      <w:pPr>
        <w:ind w:firstLine="709"/>
        <w:jc w:val="both"/>
      </w:pPr>
    </w:p>
    <w:p w:rsidR="00F333AF" w:rsidRPr="00F333AF" w:rsidRDefault="00F333AF" w:rsidP="00F333AF">
      <w:pPr>
        <w:numPr>
          <w:ilvl w:val="0"/>
          <w:numId w:val="11"/>
        </w:numPr>
        <w:tabs>
          <w:tab w:val="clear" w:pos="0"/>
        </w:tabs>
        <w:ind w:firstLine="709"/>
        <w:jc w:val="both"/>
        <w:rPr>
          <w:color w:val="000000"/>
          <w:sz w:val="28"/>
          <w:szCs w:val="28"/>
        </w:rPr>
      </w:pPr>
      <w:r>
        <w:rPr>
          <w:color w:val="000000"/>
          <w:sz w:val="28"/>
          <w:szCs w:val="28"/>
        </w:rPr>
        <w:t>1.</w:t>
      </w:r>
      <w:r w:rsidRPr="00F333AF">
        <w:rPr>
          <w:color w:val="000000"/>
          <w:sz w:val="28"/>
          <w:szCs w:val="28"/>
        </w:rPr>
        <w:t xml:space="preserve"> Утвердить нормативы формирования расходов на содержание органов местного самоуправления городских, сельских поселений муниципального района «Чернышевский район» на 2022 год.</w:t>
      </w:r>
    </w:p>
    <w:p w:rsidR="00F333AF" w:rsidRPr="00F333AF" w:rsidRDefault="00F333AF" w:rsidP="00F333AF">
      <w:pPr>
        <w:numPr>
          <w:ilvl w:val="0"/>
          <w:numId w:val="11"/>
        </w:numPr>
        <w:tabs>
          <w:tab w:val="clear" w:pos="0"/>
        </w:tabs>
        <w:ind w:firstLine="709"/>
        <w:jc w:val="both"/>
        <w:rPr>
          <w:color w:val="000000"/>
          <w:sz w:val="28"/>
          <w:szCs w:val="28"/>
        </w:rPr>
      </w:pPr>
      <w:r>
        <w:rPr>
          <w:color w:val="000000"/>
          <w:sz w:val="28"/>
          <w:szCs w:val="28"/>
        </w:rPr>
        <w:t>2.</w:t>
      </w:r>
      <w:r w:rsidRPr="00F333AF">
        <w:rPr>
          <w:color w:val="000000"/>
          <w:sz w:val="28"/>
          <w:szCs w:val="28"/>
        </w:rPr>
        <w:t xml:space="preserve"> </w:t>
      </w:r>
      <w:proofErr w:type="gramStart"/>
      <w:r w:rsidRPr="00F333AF">
        <w:rPr>
          <w:color w:val="000000"/>
          <w:sz w:val="28"/>
          <w:szCs w:val="28"/>
        </w:rPr>
        <w:t>Контроль за</w:t>
      </w:r>
      <w:proofErr w:type="gramEnd"/>
      <w:r w:rsidRPr="00F333AF">
        <w:rPr>
          <w:color w:val="000000"/>
          <w:sz w:val="28"/>
          <w:szCs w:val="28"/>
        </w:rPr>
        <w:t xml:space="preserve"> исполнением настоящего решения, возложить на Председателя Комитета по финансам администрации муниципального района «Чернышевский район» </w:t>
      </w:r>
      <w:r w:rsidRPr="00F333AF">
        <w:rPr>
          <w:color w:val="000000"/>
          <w:sz w:val="28"/>
          <w:szCs w:val="28"/>
          <w:lang w:eastAsia="en-US"/>
        </w:rPr>
        <w:t>(</w:t>
      </w:r>
      <w:r w:rsidRPr="00F333AF">
        <w:rPr>
          <w:color w:val="000000"/>
          <w:sz w:val="28"/>
          <w:szCs w:val="28"/>
          <w:lang w:val="en-US" w:eastAsia="en-US"/>
        </w:rPr>
        <w:t>B</w:t>
      </w:r>
      <w:r w:rsidRPr="00F333AF">
        <w:rPr>
          <w:color w:val="000000"/>
          <w:sz w:val="28"/>
          <w:szCs w:val="28"/>
          <w:lang w:eastAsia="en-US"/>
        </w:rPr>
        <w:t>.</w:t>
      </w:r>
      <w:r>
        <w:rPr>
          <w:color w:val="000000"/>
          <w:sz w:val="28"/>
          <w:szCs w:val="28"/>
          <w:lang w:eastAsia="en-US"/>
        </w:rPr>
        <w:t>Л</w:t>
      </w:r>
      <w:r w:rsidRPr="00F333AF">
        <w:rPr>
          <w:color w:val="000000"/>
          <w:sz w:val="28"/>
          <w:szCs w:val="28"/>
          <w:lang w:eastAsia="en-US"/>
        </w:rPr>
        <w:t xml:space="preserve">. </w:t>
      </w:r>
      <w:proofErr w:type="spellStart"/>
      <w:r w:rsidRPr="00F333AF">
        <w:rPr>
          <w:color w:val="000000"/>
          <w:sz w:val="28"/>
          <w:szCs w:val="28"/>
        </w:rPr>
        <w:t>Бериеву</w:t>
      </w:r>
      <w:proofErr w:type="spellEnd"/>
      <w:r w:rsidRPr="00F333AF">
        <w:rPr>
          <w:color w:val="000000"/>
          <w:sz w:val="28"/>
          <w:szCs w:val="28"/>
        </w:rPr>
        <w:t>).</w:t>
      </w:r>
    </w:p>
    <w:p w:rsidR="00F333AF" w:rsidRPr="00F333AF" w:rsidRDefault="00F333AF" w:rsidP="00F333AF">
      <w:pPr>
        <w:numPr>
          <w:ilvl w:val="0"/>
          <w:numId w:val="11"/>
        </w:numPr>
        <w:tabs>
          <w:tab w:val="clear" w:pos="0"/>
        </w:tabs>
        <w:ind w:firstLine="709"/>
        <w:jc w:val="both"/>
        <w:rPr>
          <w:color w:val="000000"/>
          <w:sz w:val="28"/>
          <w:szCs w:val="28"/>
        </w:rPr>
      </w:pPr>
      <w:r>
        <w:rPr>
          <w:color w:val="000000"/>
          <w:sz w:val="28"/>
          <w:szCs w:val="28"/>
        </w:rPr>
        <w:t>3.</w:t>
      </w:r>
      <w:r w:rsidRPr="00F333AF">
        <w:rPr>
          <w:color w:val="000000"/>
          <w:sz w:val="28"/>
          <w:szCs w:val="28"/>
        </w:rPr>
        <w:t xml:space="preserve"> Настоящее постановление муниципального района «Чернышевский район» вступает в силу после его официального опубликования (обнародования).</w:t>
      </w:r>
    </w:p>
    <w:p w:rsidR="00F333AF" w:rsidRPr="00F333AF" w:rsidRDefault="00F333AF" w:rsidP="00F333AF">
      <w:pPr>
        <w:numPr>
          <w:ilvl w:val="0"/>
          <w:numId w:val="11"/>
        </w:numPr>
        <w:tabs>
          <w:tab w:val="clear" w:pos="0"/>
        </w:tabs>
        <w:ind w:firstLine="709"/>
        <w:jc w:val="both"/>
        <w:rPr>
          <w:color w:val="000000"/>
          <w:sz w:val="28"/>
          <w:szCs w:val="28"/>
        </w:rPr>
      </w:pPr>
      <w:r>
        <w:rPr>
          <w:color w:val="000000"/>
          <w:sz w:val="28"/>
          <w:szCs w:val="28"/>
        </w:rPr>
        <w:t>4.</w:t>
      </w:r>
      <w:r w:rsidRPr="00F333AF">
        <w:rPr>
          <w:color w:val="000000"/>
          <w:sz w:val="28"/>
          <w:szCs w:val="28"/>
        </w:rPr>
        <w:t xml:space="preserve"> Настоящее постановление опубликовать в газете «Наше время» и разместить на официальном сайте </w:t>
      </w:r>
      <w:proofErr w:type="spellStart"/>
      <w:r w:rsidRPr="00F333AF">
        <w:rPr>
          <w:color w:val="000000"/>
          <w:sz w:val="28"/>
          <w:szCs w:val="28"/>
          <w:lang w:val="en-US" w:eastAsia="en-US"/>
        </w:rPr>
        <w:t>chemishev</w:t>
      </w:r>
      <w:proofErr w:type="spellEnd"/>
      <w:r w:rsidRPr="00F333AF">
        <w:rPr>
          <w:color w:val="000000"/>
          <w:sz w:val="28"/>
          <w:szCs w:val="28"/>
          <w:lang w:eastAsia="en-US"/>
        </w:rPr>
        <w:t>.75.</w:t>
      </w:r>
      <w:proofErr w:type="spellStart"/>
      <w:r w:rsidRPr="00F333AF">
        <w:rPr>
          <w:color w:val="000000"/>
          <w:sz w:val="28"/>
          <w:szCs w:val="28"/>
          <w:lang w:val="en-US" w:eastAsia="en-US"/>
        </w:rPr>
        <w:t>ru</w:t>
      </w:r>
      <w:proofErr w:type="spellEnd"/>
      <w:r>
        <w:rPr>
          <w:color w:val="000000"/>
          <w:sz w:val="28"/>
          <w:szCs w:val="28"/>
          <w:lang w:eastAsia="en-US"/>
        </w:rPr>
        <w:t>,</w:t>
      </w:r>
      <w:r w:rsidRPr="00F333AF">
        <w:rPr>
          <w:color w:val="000000"/>
          <w:sz w:val="28"/>
          <w:szCs w:val="28"/>
          <w:lang w:eastAsia="en-US"/>
        </w:rPr>
        <w:t xml:space="preserve"> </w:t>
      </w:r>
      <w:r w:rsidRPr="00F333AF">
        <w:rPr>
          <w:color w:val="000000"/>
          <w:sz w:val="28"/>
          <w:szCs w:val="28"/>
        </w:rPr>
        <w:t>в разделе Документы.</w:t>
      </w:r>
    </w:p>
    <w:p w:rsidR="001169B8" w:rsidRPr="00034DB6" w:rsidRDefault="001169B8" w:rsidP="00034DB6">
      <w:pPr>
        <w:ind w:firstLine="709"/>
        <w:jc w:val="both"/>
        <w:rPr>
          <w:spacing w:val="-1"/>
          <w:sz w:val="28"/>
          <w:szCs w:val="28"/>
        </w:rPr>
      </w:pPr>
    </w:p>
    <w:p w:rsidR="00F01FF2" w:rsidRDefault="00F01FF2" w:rsidP="005351C2">
      <w:pPr>
        <w:rPr>
          <w:spacing w:val="-1"/>
          <w:sz w:val="28"/>
          <w:szCs w:val="28"/>
        </w:rPr>
      </w:pPr>
    </w:p>
    <w:p w:rsidR="000A746E" w:rsidRDefault="000A746E"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743E3"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p w:rsidR="005D1780" w:rsidRDefault="005D1780" w:rsidP="00BD7AC6">
      <w:pPr>
        <w:jc w:val="both"/>
        <w:rPr>
          <w:spacing w:val="-1"/>
          <w:sz w:val="28"/>
          <w:szCs w:val="28"/>
        </w:rPr>
      </w:pPr>
    </w:p>
    <w:p w:rsidR="00F333AF" w:rsidRDefault="00F333AF" w:rsidP="00BD7AC6">
      <w:pPr>
        <w:jc w:val="both"/>
        <w:rPr>
          <w:spacing w:val="-1"/>
          <w:sz w:val="28"/>
          <w:szCs w:val="28"/>
        </w:rPr>
      </w:pPr>
    </w:p>
    <w:p w:rsidR="00F333AF" w:rsidRDefault="00F333AF" w:rsidP="00BD7AC6">
      <w:pPr>
        <w:jc w:val="both"/>
        <w:rPr>
          <w:spacing w:val="-1"/>
          <w:sz w:val="28"/>
          <w:szCs w:val="28"/>
        </w:rPr>
      </w:pPr>
    </w:p>
    <w:p w:rsidR="00F333AF" w:rsidRDefault="00F333AF" w:rsidP="00BD7AC6">
      <w:pPr>
        <w:jc w:val="both"/>
        <w:rPr>
          <w:spacing w:val="-1"/>
          <w:sz w:val="28"/>
          <w:szCs w:val="28"/>
        </w:rPr>
      </w:pPr>
    </w:p>
    <w:p w:rsidR="00F333AF" w:rsidRDefault="00F333AF" w:rsidP="00BD7AC6">
      <w:pPr>
        <w:jc w:val="both"/>
        <w:rPr>
          <w:spacing w:val="-1"/>
          <w:sz w:val="28"/>
          <w:szCs w:val="28"/>
        </w:rPr>
      </w:pPr>
    </w:p>
    <w:p w:rsidR="00F333AF" w:rsidRDefault="00F333AF" w:rsidP="00BD7AC6">
      <w:pPr>
        <w:jc w:val="both"/>
        <w:rPr>
          <w:spacing w:val="-1"/>
          <w:sz w:val="28"/>
          <w:szCs w:val="28"/>
        </w:rPr>
      </w:pPr>
    </w:p>
    <w:p w:rsidR="00F333AF" w:rsidRDefault="00F333AF" w:rsidP="00BD7AC6">
      <w:pPr>
        <w:jc w:val="both"/>
        <w:rPr>
          <w:spacing w:val="-1"/>
          <w:sz w:val="28"/>
          <w:szCs w:val="28"/>
        </w:rPr>
      </w:pPr>
    </w:p>
    <w:p w:rsidR="00F333AF" w:rsidRDefault="00F333AF" w:rsidP="00F333AF">
      <w:pPr>
        <w:jc w:val="right"/>
        <w:rPr>
          <w:color w:val="000000"/>
        </w:rPr>
      </w:pPr>
      <w:r>
        <w:rPr>
          <w:color w:val="000000"/>
        </w:rPr>
        <w:lastRenderedPageBreak/>
        <w:t xml:space="preserve">Приложение </w:t>
      </w:r>
    </w:p>
    <w:p w:rsidR="00F333AF" w:rsidRDefault="00F333AF" w:rsidP="00F333AF">
      <w:pPr>
        <w:jc w:val="right"/>
        <w:rPr>
          <w:color w:val="000000"/>
        </w:rPr>
      </w:pPr>
      <w:r>
        <w:rPr>
          <w:color w:val="000000"/>
        </w:rPr>
        <w:t xml:space="preserve">к </w:t>
      </w:r>
      <w:r w:rsidRPr="00F333AF">
        <w:rPr>
          <w:color w:val="000000"/>
        </w:rPr>
        <w:t xml:space="preserve">постановлению администрации </w:t>
      </w:r>
    </w:p>
    <w:p w:rsidR="00F333AF" w:rsidRDefault="00F333AF" w:rsidP="00F333AF">
      <w:pPr>
        <w:jc w:val="right"/>
        <w:rPr>
          <w:color w:val="000000"/>
        </w:rPr>
      </w:pPr>
      <w:r w:rsidRPr="00F333AF">
        <w:rPr>
          <w:color w:val="000000"/>
        </w:rPr>
        <w:t xml:space="preserve">муниципального района </w:t>
      </w:r>
    </w:p>
    <w:p w:rsidR="00F333AF" w:rsidRDefault="00F333AF" w:rsidP="00F333AF">
      <w:pPr>
        <w:jc w:val="right"/>
        <w:rPr>
          <w:color w:val="000000"/>
        </w:rPr>
      </w:pPr>
      <w:r w:rsidRPr="00F333AF">
        <w:rPr>
          <w:color w:val="000000"/>
        </w:rPr>
        <w:t xml:space="preserve">«Чернышевский район» </w:t>
      </w:r>
    </w:p>
    <w:p w:rsidR="00F333AF" w:rsidRDefault="00F333AF" w:rsidP="00F333AF">
      <w:pPr>
        <w:jc w:val="right"/>
        <w:rPr>
          <w:color w:val="000000"/>
        </w:rPr>
      </w:pPr>
      <w:r w:rsidRPr="00F333AF">
        <w:rPr>
          <w:color w:val="000000"/>
        </w:rPr>
        <w:t xml:space="preserve">от </w:t>
      </w:r>
      <w:r>
        <w:rPr>
          <w:color w:val="000000"/>
        </w:rPr>
        <w:t xml:space="preserve">19 апреля </w:t>
      </w:r>
      <w:r w:rsidRPr="00F333AF">
        <w:rPr>
          <w:color w:val="000000"/>
        </w:rPr>
        <w:t>2022 года №</w:t>
      </w:r>
      <w:r>
        <w:rPr>
          <w:color w:val="000000"/>
        </w:rPr>
        <w:t xml:space="preserve"> 178</w:t>
      </w:r>
    </w:p>
    <w:p w:rsidR="00F333AF" w:rsidRPr="00F333AF" w:rsidRDefault="00F333AF" w:rsidP="00F333AF">
      <w:pPr>
        <w:jc w:val="right"/>
      </w:pPr>
    </w:p>
    <w:p w:rsidR="00F333AF" w:rsidRPr="00F333AF" w:rsidRDefault="00F333AF" w:rsidP="00F333AF">
      <w:pPr>
        <w:jc w:val="center"/>
        <w:rPr>
          <w:b/>
        </w:rPr>
      </w:pPr>
      <w:r w:rsidRPr="00F333AF">
        <w:rPr>
          <w:b/>
          <w:bCs/>
          <w:color w:val="000000"/>
          <w:sz w:val="28"/>
          <w:szCs w:val="28"/>
        </w:rPr>
        <w:t xml:space="preserve">Нормативы формирования </w:t>
      </w:r>
      <w:r w:rsidRPr="00F333AF">
        <w:rPr>
          <w:b/>
          <w:color w:val="000000"/>
          <w:sz w:val="28"/>
          <w:szCs w:val="28"/>
        </w:rPr>
        <w:t xml:space="preserve">расходов на </w:t>
      </w:r>
      <w:r w:rsidRPr="00F333AF">
        <w:rPr>
          <w:b/>
          <w:bCs/>
          <w:color w:val="000000"/>
          <w:sz w:val="28"/>
          <w:szCs w:val="28"/>
        </w:rPr>
        <w:t>содержание органов местного самоуправления городских, сельских поселений муниципального района</w:t>
      </w:r>
    </w:p>
    <w:p w:rsidR="00F333AF" w:rsidRPr="00F333AF" w:rsidRDefault="00F333AF" w:rsidP="00F333AF">
      <w:pPr>
        <w:jc w:val="center"/>
        <w:rPr>
          <w:b/>
          <w:bCs/>
          <w:color w:val="000000"/>
          <w:sz w:val="28"/>
          <w:szCs w:val="28"/>
        </w:rPr>
      </w:pPr>
      <w:r w:rsidRPr="00F333AF">
        <w:rPr>
          <w:b/>
          <w:bCs/>
          <w:color w:val="000000"/>
          <w:sz w:val="28"/>
          <w:szCs w:val="28"/>
        </w:rPr>
        <w:t>«Чернышевский район» на 2022 год</w:t>
      </w:r>
    </w:p>
    <w:p w:rsidR="00F333AF" w:rsidRPr="00F333AF" w:rsidRDefault="00F333AF" w:rsidP="00F333AF"/>
    <w:tbl>
      <w:tblPr>
        <w:tblW w:w="0" w:type="auto"/>
        <w:tblInd w:w="5" w:type="dxa"/>
        <w:tblLayout w:type="fixed"/>
        <w:tblCellMar>
          <w:left w:w="0" w:type="dxa"/>
          <w:right w:w="0" w:type="dxa"/>
        </w:tblCellMar>
        <w:tblLook w:val="0000"/>
      </w:tblPr>
      <w:tblGrid>
        <w:gridCol w:w="4790"/>
        <w:gridCol w:w="4786"/>
      </w:tblGrid>
      <w:tr w:rsidR="00F333AF" w:rsidRPr="00F333AF">
        <w:tblPrEx>
          <w:tblCellMar>
            <w:top w:w="0" w:type="dxa"/>
            <w:left w:w="0" w:type="dxa"/>
            <w:bottom w:w="0" w:type="dxa"/>
            <w:right w:w="0" w:type="dxa"/>
          </w:tblCellMar>
        </w:tblPrEx>
        <w:trPr>
          <w:trHeight w:hRule="exact" w:val="1046"/>
        </w:trPr>
        <w:tc>
          <w:tcPr>
            <w:tcW w:w="4790" w:type="dxa"/>
            <w:tcBorders>
              <w:top w:val="single" w:sz="4" w:space="0" w:color="auto"/>
              <w:left w:val="single" w:sz="4" w:space="0" w:color="auto"/>
              <w:bottom w:val="nil"/>
              <w:right w:val="nil"/>
            </w:tcBorders>
            <w:shd w:val="clear" w:color="auto" w:fill="FFFFFF"/>
            <w:vAlign w:val="center"/>
          </w:tcPr>
          <w:p w:rsidR="00F333AF" w:rsidRPr="00F333AF" w:rsidRDefault="00F333AF" w:rsidP="00F333AF">
            <w:pPr>
              <w:spacing w:line="280" w:lineRule="exact"/>
            </w:pPr>
            <w:r w:rsidRPr="00F333AF">
              <w:rPr>
                <w:color w:val="000000"/>
                <w:sz w:val="28"/>
                <w:szCs w:val="28"/>
              </w:rPr>
              <w:t>Наименование поселений</w:t>
            </w:r>
          </w:p>
        </w:tc>
        <w:tc>
          <w:tcPr>
            <w:tcW w:w="4786" w:type="dxa"/>
            <w:tcBorders>
              <w:top w:val="single" w:sz="4" w:space="0" w:color="auto"/>
              <w:left w:val="single" w:sz="4" w:space="0" w:color="auto"/>
              <w:bottom w:val="nil"/>
              <w:right w:val="single" w:sz="4" w:space="0" w:color="auto"/>
            </w:tcBorders>
            <w:shd w:val="clear" w:color="auto" w:fill="FFFFFF"/>
            <w:vAlign w:val="center"/>
          </w:tcPr>
          <w:p w:rsidR="00F333AF" w:rsidRPr="00F333AF" w:rsidRDefault="00F333AF" w:rsidP="00F333AF">
            <w:pPr>
              <w:spacing w:line="280" w:lineRule="exact"/>
              <w:jc w:val="center"/>
            </w:pPr>
            <w:r w:rsidRPr="00F333AF">
              <w:rPr>
                <w:color w:val="000000"/>
                <w:sz w:val="28"/>
                <w:szCs w:val="28"/>
              </w:rPr>
              <w:t>Норматив, тыс</w:t>
            </w:r>
            <w:proofErr w:type="gramStart"/>
            <w:r w:rsidRPr="00F333AF">
              <w:rPr>
                <w:color w:val="000000"/>
                <w:sz w:val="28"/>
                <w:szCs w:val="28"/>
              </w:rPr>
              <w:t>.р</w:t>
            </w:r>
            <w:proofErr w:type="gramEnd"/>
            <w:r w:rsidRPr="00F333AF">
              <w:rPr>
                <w:color w:val="000000"/>
                <w:sz w:val="28"/>
                <w:szCs w:val="28"/>
              </w:rPr>
              <w:t>уб.</w:t>
            </w:r>
          </w:p>
        </w:tc>
      </w:tr>
      <w:tr w:rsidR="00F333AF" w:rsidRPr="00F333AF">
        <w:tblPrEx>
          <w:tblCellMar>
            <w:top w:w="0" w:type="dxa"/>
            <w:left w:w="0" w:type="dxa"/>
            <w:bottom w:w="0" w:type="dxa"/>
            <w:right w:w="0" w:type="dxa"/>
          </w:tblCellMar>
        </w:tblPrEx>
        <w:trPr>
          <w:trHeight w:hRule="exact" w:val="336"/>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г/</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Букачачинское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5 509,90</w:t>
            </w:r>
          </w:p>
        </w:tc>
      </w:tr>
      <w:tr w:rsidR="00F333AF" w:rsidRPr="00F333AF">
        <w:tblPrEx>
          <w:tblCellMar>
            <w:top w:w="0" w:type="dxa"/>
            <w:left w:w="0" w:type="dxa"/>
            <w:bottom w:w="0" w:type="dxa"/>
            <w:right w:w="0" w:type="dxa"/>
          </w:tblCellMar>
        </w:tblPrEx>
        <w:trPr>
          <w:trHeight w:hRule="exact" w:val="336"/>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Алеурское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2 128,20</w:t>
            </w:r>
          </w:p>
        </w:tc>
      </w:tr>
      <w:tr w:rsidR="00F333AF" w:rsidRPr="00F333AF">
        <w:tblPrEx>
          <w:tblCellMar>
            <w:top w:w="0" w:type="dxa"/>
            <w:left w:w="0" w:type="dxa"/>
            <w:bottom w:w="0" w:type="dxa"/>
            <w:right w:w="0" w:type="dxa"/>
          </w:tblCellMar>
        </w:tblPrEx>
        <w:trPr>
          <w:trHeight w:hRule="exact" w:val="331"/>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Байгульское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2 411,00</w:t>
            </w:r>
          </w:p>
        </w:tc>
      </w:tr>
      <w:tr w:rsidR="00F333AF" w:rsidRPr="00F333AF">
        <w:tblPrEx>
          <w:tblCellMar>
            <w:top w:w="0" w:type="dxa"/>
            <w:left w:w="0" w:type="dxa"/>
            <w:bottom w:w="0" w:type="dxa"/>
            <w:right w:w="0" w:type="dxa"/>
          </w:tblCellMar>
        </w:tblPrEx>
        <w:trPr>
          <w:trHeight w:hRule="exact" w:val="331"/>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Бушулейское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1 664,00</w:t>
            </w:r>
          </w:p>
        </w:tc>
      </w:tr>
      <w:tr w:rsidR="00F333AF" w:rsidRPr="00F333AF">
        <w:tblPrEx>
          <w:tblCellMar>
            <w:top w:w="0" w:type="dxa"/>
            <w:left w:w="0" w:type="dxa"/>
            <w:bottom w:w="0" w:type="dxa"/>
            <w:right w:w="0" w:type="dxa"/>
          </w:tblCellMar>
        </w:tblPrEx>
        <w:trPr>
          <w:trHeight w:hRule="exact" w:val="336"/>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Гаурское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1 398,10</w:t>
            </w:r>
          </w:p>
        </w:tc>
      </w:tr>
      <w:tr w:rsidR="00F333AF" w:rsidRPr="00F333AF">
        <w:tblPrEx>
          <w:tblCellMar>
            <w:top w:w="0" w:type="dxa"/>
            <w:left w:w="0" w:type="dxa"/>
            <w:bottom w:w="0" w:type="dxa"/>
            <w:right w:w="0" w:type="dxa"/>
          </w:tblCellMar>
        </w:tblPrEx>
        <w:trPr>
          <w:trHeight w:hRule="exact" w:val="331"/>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Икшицское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1 532,40</w:t>
            </w:r>
          </w:p>
        </w:tc>
      </w:tr>
      <w:tr w:rsidR="00F333AF" w:rsidRPr="00F333AF">
        <w:tblPrEx>
          <w:tblCellMar>
            <w:top w:w="0" w:type="dxa"/>
            <w:left w:w="0" w:type="dxa"/>
            <w:bottom w:w="0" w:type="dxa"/>
            <w:right w:w="0" w:type="dxa"/>
          </w:tblCellMar>
        </w:tblPrEx>
        <w:trPr>
          <w:trHeight w:hRule="exact" w:val="336"/>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«Комсомольское»</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2 390,20</w:t>
            </w:r>
          </w:p>
        </w:tc>
      </w:tr>
      <w:tr w:rsidR="00F333AF" w:rsidRPr="00F333AF">
        <w:tblPrEx>
          <w:tblCellMar>
            <w:top w:w="0" w:type="dxa"/>
            <w:left w:w="0" w:type="dxa"/>
            <w:bottom w:w="0" w:type="dxa"/>
            <w:right w:w="0" w:type="dxa"/>
          </w:tblCellMar>
        </w:tblPrEx>
        <w:trPr>
          <w:trHeight w:hRule="exact" w:val="336"/>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Курлыченское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1 591,50</w:t>
            </w:r>
          </w:p>
        </w:tc>
      </w:tr>
      <w:tr w:rsidR="00F333AF" w:rsidRPr="00F333AF">
        <w:tblPrEx>
          <w:tblCellMar>
            <w:top w:w="0" w:type="dxa"/>
            <w:left w:w="0" w:type="dxa"/>
            <w:bottom w:w="0" w:type="dxa"/>
            <w:right w:w="0" w:type="dxa"/>
          </w:tblCellMar>
        </w:tblPrEx>
        <w:trPr>
          <w:trHeight w:hRule="exact" w:val="331"/>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Мильгидунское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2 176,50</w:t>
            </w:r>
          </w:p>
        </w:tc>
      </w:tr>
      <w:tr w:rsidR="00F333AF" w:rsidRPr="00F333AF">
        <w:tblPrEx>
          <w:tblCellMar>
            <w:top w:w="0" w:type="dxa"/>
            <w:left w:w="0" w:type="dxa"/>
            <w:bottom w:w="0" w:type="dxa"/>
            <w:right w:w="0" w:type="dxa"/>
          </w:tblCellMar>
        </w:tblPrEx>
        <w:trPr>
          <w:trHeight w:hRule="exact" w:val="331"/>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Новоильинское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1 580,20</w:t>
            </w:r>
          </w:p>
        </w:tc>
      </w:tr>
      <w:tr w:rsidR="00F333AF" w:rsidRPr="00F333AF">
        <w:tblPrEx>
          <w:tblCellMar>
            <w:top w:w="0" w:type="dxa"/>
            <w:left w:w="0" w:type="dxa"/>
            <w:bottom w:w="0" w:type="dxa"/>
            <w:right w:w="0" w:type="dxa"/>
          </w:tblCellMar>
        </w:tblPrEx>
        <w:trPr>
          <w:trHeight w:hRule="exact" w:val="331"/>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Новооловское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2801,00</w:t>
            </w:r>
          </w:p>
        </w:tc>
      </w:tr>
      <w:tr w:rsidR="00F333AF" w:rsidRPr="00F333AF">
        <w:tblPrEx>
          <w:tblCellMar>
            <w:top w:w="0" w:type="dxa"/>
            <w:left w:w="0" w:type="dxa"/>
            <w:bottom w:w="0" w:type="dxa"/>
            <w:right w:w="0" w:type="dxa"/>
          </w:tblCellMar>
        </w:tblPrEx>
        <w:trPr>
          <w:trHeight w:hRule="exact" w:val="326"/>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Старооловское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2 224,40</w:t>
            </w:r>
          </w:p>
        </w:tc>
      </w:tr>
      <w:tr w:rsidR="00F333AF" w:rsidRPr="00F333AF">
        <w:tblPrEx>
          <w:tblCellMar>
            <w:top w:w="0" w:type="dxa"/>
            <w:left w:w="0" w:type="dxa"/>
            <w:bottom w:w="0" w:type="dxa"/>
            <w:right w:w="0" w:type="dxa"/>
          </w:tblCellMar>
        </w:tblPrEx>
        <w:trPr>
          <w:trHeight w:hRule="exact" w:val="331"/>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Укурейское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2 261,80</w:t>
            </w:r>
          </w:p>
        </w:tc>
      </w:tr>
      <w:tr w:rsidR="00F333AF" w:rsidRPr="00F333AF">
        <w:tblPrEx>
          <w:tblCellMar>
            <w:top w:w="0" w:type="dxa"/>
            <w:left w:w="0" w:type="dxa"/>
            <w:bottom w:w="0" w:type="dxa"/>
            <w:right w:w="0" w:type="dxa"/>
          </w:tblCellMar>
        </w:tblPrEx>
        <w:trPr>
          <w:trHeight w:hRule="exact" w:val="336"/>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Урюмское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2 950,80</w:t>
            </w:r>
          </w:p>
        </w:tc>
      </w:tr>
      <w:tr w:rsidR="00F333AF" w:rsidRPr="00F333AF">
        <w:tblPrEx>
          <w:tblCellMar>
            <w:top w:w="0" w:type="dxa"/>
            <w:left w:w="0" w:type="dxa"/>
            <w:bottom w:w="0" w:type="dxa"/>
            <w:right w:w="0" w:type="dxa"/>
          </w:tblCellMar>
        </w:tblPrEx>
        <w:trPr>
          <w:trHeight w:hRule="exact" w:val="326"/>
        </w:trPr>
        <w:tc>
          <w:tcPr>
            <w:tcW w:w="4790" w:type="dxa"/>
            <w:tcBorders>
              <w:top w:val="single" w:sz="4" w:space="0" w:color="auto"/>
              <w:left w:val="single" w:sz="4" w:space="0" w:color="auto"/>
              <w:bottom w:val="nil"/>
              <w:right w:val="nil"/>
            </w:tcBorders>
            <w:shd w:val="clear" w:color="auto" w:fill="FFFFFF"/>
            <w:vAlign w:val="bottom"/>
          </w:tcPr>
          <w:p w:rsidR="00F333AF" w:rsidRPr="00F333AF" w:rsidRDefault="00F333AF" w:rsidP="00F333AF">
            <w:pPr>
              <w:spacing w:line="280" w:lineRule="exact"/>
            </w:pPr>
            <w:r w:rsidRPr="00F333AF">
              <w:rPr>
                <w:color w:val="000000"/>
                <w:sz w:val="28"/>
                <w:szCs w:val="28"/>
              </w:rPr>
              <w:t>с/</w:t>
            </w:r>
            <w:proofErr w:type="spellStart"/>
            <w:proofErr w:type="gramStart"/>
            <w:r w:rsidRPr="00F333AF">
              <w:rPr>
                <w:color w:val="000000"/>
                <w:sz w:val="28"/>
                <w:szCs w:val="28"/>
              </w:rPr>
              <w:t>п</w:t>
            </w:r>
            <w:proofErr w:type="spellEnd"/>
            <w:proofErr w:type="gramEnd"/>
            <w:r w:rsidRPr="00F333AF">
              <w:rPr>
                <w:color w:val="000000"/>
                <w:sz w:val="28"/>
                <w:szCs w:val="28"/>
              </w:rPr>
              <w:t xml:space="preserve"> «</w:t>
            </w:r>
            <w:proofErr w:type="spellStart"/>
            <w:r w:rsidRPr="00F333AF">
              <w:rPr>
                <w:color w:val="000000"/>
                <w:sz w:val="28"/>
                <w:szCs w:val="28"/>
              </w:rPr>
              <w:t>Утанское</w:t>
            </w:r>
            <w:proofErr w:type="spellEnd"/>
            <w:r w:rsidRPr="00F333AF">
              <w:rPr>
                <w:color w:val="000000"/>
                <w:sz w:val="28"/>
                <w:szCs w:val="28"/>
              </w:rPr>
              <w:t>»</w:t>
            </w:r>
          </w:p>
        </w:tc>
        <w:tc>
          <w:tcPr>
            <w:tcW w:w="4786" w:type="dxa"/>
            <w:tcBorders>
              <w:top w:val="single" w:sz="4" w:space="0" w:color="auto"/>
              <w:left w:val="single" w:sz="4" w:space="0" w:color="auto"/>
              <w:bottom w:val="nil"/>
              <w:right w:val="single" w:sz="4" w:space="0" w:color="auto"/>
            </w:tcBorders>
            <w:shd w:val="clear" w:color="auto" w:fill="FFFFFF"/>
            <w:vAlign w:val="bottom"/>
          </w:tcPr>
          <w:p w:rsidR="00F333AF" w:rsidRPr="00F333AF" w:rsidRDefault="00F333AF" w:rsidP="00F333AF">
            <w:pPr>
              <w:spacing w:line="280" w:lineRule="exact"/>
              <w:jc w:val="center"/>
            </w:pPr>
            <w:r w:rsidRPr="00F333AF">
              <w:rPr>
                <w:color w:val="000000"/>
                <w:sz w:val="28"/>
                <w:szCs w:val="28"/>
              </w:rPr>
              <w:t>2 105,70</w:t>
            </w:r>
          </w:p>
        </w:tc>
      </w:tr>
      <w:tr w:rsidR="00F333AF" w:rsidRPr="00F333AF">
        <w:tblPrEx>
          <w:tblCellMar>
            <w:top w:w="0" w:type="dxa"/>
            <w:left w:w="0" w:type="dxa"/>
            <w:bottom w:w="0" w:type="dxa"/>
            <w:right w:w="0" w:type="dxa"/>
          </w:tblCellMar>
        </w:tblPrEx>
        <w:trPr>
          <w:trHeight w:hRule="exact" w:val="346"/>
        </w:trPr>
        <w:tc>
          <w:tcPr>
            <w:tcW w:w="4790" w:type="dxa"/>
            <w:tcBorders>
              <w:top w:val="single" w:sz="4" w:space="0" w:color="auto"/>
              <w:left w:val="single" w:sz="4" w:space="0" w:color="auto"/>
              <w:bottom w:val="single" w:sz="4" w:space="0" w:color="auto"/>
              <w:right w:val="nil"/>
            </w:tcBorders>
            <w:shd w:val="clear" w:color="auto" w:fill="FFFFFF"/>
            <w:vAlign w:val="bottom"/>
          </w:tcPr>
          <w:p w:rsidR="00F333AF" w:rsidRPr="00F333AF" w:rsidRDefault="00F333AF" w:rsidP="00F333AF">
            <w:pPr>
              <w:spacing w:line="280" w:lineRule="exact"/>
            </w:pPr>
            <w:r w:rsidRPr="00F333AF">
              <w:rPr>
                <w:b/>
                <w:bCs/>
                <w:color w:val="000000"/>
                <w:sz w:val="28"/>
                <w:szCs w:val="28"/>
              </w:rPr>
              <w:t>Всего:</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F333AF" w:rsidRPr="00F333AF" w:rsidRDefault="00F333AF" w:rsidP="00F333AF">
            <w:pPr>
              <w:spacing w:line="280" w:lineRule="exact"/>
              <w:jc w:val="center"/>
            </w:pPr>
            <w:r w:rsidRPr="00F333AF">
              <w:rPr>
                <w:b/>
                <w:bCs/>
                <w:color w:val="000000"/>
                <w:sz w:val="28"/>
                <w:szCs w:val="28"/>
              </w:rPr>
              <w:t>34 725,70</w:t>
            </w:r>
          </w:p>
        </w:tc>
      </w:tr>
    </w:tbl>
    <w:p w:rsidR="00F333AF" w:rsidRDefault="00F333AF" w:rsidP="00F333AF">
      <w:pPr>
        <w:jc w:val="center"/>
        <w:rPr>
          <w:spacing w:val="-1"/>
          <w:sz w:val="28"/>
          <w:szCs w:val="28"/>
        </w:rPr>
      </w:pPr>
      <w:r>
        <w:rPr>
          <w:spacing w:val="-1"/>
          <w:sz w:val="28"/>
          <w:szCs w:val="28"/>
        </w:rPr>
        <w:t>____________________</w:t>
      </w:r>
    </w:p>
    <w:sectPr w:rsidR="00F333AF" w:rsidSect="005D1780">
      <w:pgSz w:w="11906" w:h="16838"/>
      <w:pgMar w:top="1134"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40"/>
  </w:num>
  <w:num w:numId="5">
    <w:abstractNumId w:val="35"/>
  </w:num>
  <w:num w:numId="6">
    <w:abstractNumId w:val="16"/>
  </w:num>
  <w:num w:numId="7">
    <w:abstractNumId w:val="27"/>
  </w:num>
  <w:num w:numId="8">
    <w:abstractNumId w:val="26"/>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4"/>
  </w:num>
  <w:num w:numId="29">
    <w:abstractNumId w:val="28"/>
  </w:num>
  <w:num w:numId="30">
    <w:abstractNumId w:val="20"/>
  </w:num>
  <w:num w:numId="31">
    <w:abstractNumId w:val="10"/>
  </w:num>
  <w:num w:numId="32">
    <w:abstractNumId w:val="13"/>
  </w:num>
  <w:num w:numId="33">
    <w:abstractNumId w:val="21"/>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34DB6"/>
    <w:rsid w:val="000440B9"/>
    <w:rsid w:val="00052599"/>
    <w:rsid w:val="00052658"/>
    <w:rsid w:val="00053AD1"/>
    <w:rsid w:val="00064445"/>
    <w:rsid w:val="00070FBD"/>
    <w:rsid w:val="000768F9"/>
    <w:rsid w:val="00080AA9"/>
    <w:rsid w:val="00084614"/>
    <w:rsid w:val="000849A8"/>
    <w:rsid w:val="0009013A"/>
    <w:rsid w:val="000971A2"/>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774A"/>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2CAA"/>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84E46"/>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1D21"/>
    <w:rsid w:val="00ED5997"/>
    <w:rsid w:val="00ED6DCD"/>
    <w:rsid w:val="00ED7035"/>
    <w:rsid w:val="00EE2DE0"/>
    <w:rsid w:val="00EF32F5"/>
    <w:rsid w:val="00F01FF2"/>
    <w:rsid w:val="00F0394F"/>
    <w:rsid w:val="00F06FD3"/>
    <w:rsid w:val="00F11B2B"/>
    <w:rsid w:val="00F15700"/>
    <w:rsid w:val="00F26E83"/>
    <w:rsid w:val="00F333AF"/>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770421276">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369</Words>
  <Characters>2106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2022-04-26T08:44:00Z</cp:lastPrinted>
  <dcterms:created xsi:type="dcterms:W3CDTF">2022-04-26T08:45:00Z</dcterms:created>
  <dcterms:modified xsi:type="dcterms:W3CDTF">2022-04-26T08:45:00Z</dcterms:modified>
</cp:coreProperties>
</file>