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53"/>
        <w:gridCol w:w="3553"/>
        <w:gridCol w:w="1500"/>
        <w:gridCol w:w="1680"/>
      </w:tblGrid>
      <w:tr w:rsidR="00B5318E" w:rsidRPr="00B5318E">
        <w:trPr>
          <w:trHeight w:val="27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5318E" w:rsidRPr="00B5318E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 отчету об исполнении муниципального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  <w:vAlign w:val="bottom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КОДЫ</w:t>
            </w:r>
          </w:p>
        </w:tc>
      </w:tr>
      <w:tr w:rsidR="00B5318E" w:rsidRPr="00B5318E">
        <w:trPr>
          <w:trHeight w:val="28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Форма по ОКУД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0503360</w:t>
            </w:r>
          </w:p>
        </w:tc>
      </w:tr>
      <w:tr w:rsidR="00B5318E" w:rsidRPr="00B5318E">
        <w:trPr>
          <w:trHeight w:val="28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1 января 2023 г.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  <w:vAlign w:val="bottom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01.01.2023</w:t>
            </w:r>
          </w:p>
        </w:tc>
      </w:tr>
      <w:tr w:rsidR="00B5318E" w:rsidRPr="00B5318E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5318E" w:rsidRPr="00B5318E">
        <w:trPr>
          <w:trHeight w:val="19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ОКПО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5318E" w:rsidRPr="00B5318E">
        <w:trPr>
          <w:trHeight w:val="15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финансового органа Чернышевский район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Глава по БК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  <w:vAlign w:val="bottom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</w:tr>
      <w:tr w:rsidR="00B5318E" w:rsidRPr="00B5318E">
        <w:trPr>
          <w:trHeight w:val="2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бюджета собственный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ОКАТО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bottom w:w="0" w:type="dxa"/>
            </w:tcMar>
            <w:vAlign w:val="bottom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76248000000</w:t>
            </w:r>
          </w:p>
        </w:tc>
      </w:tr>
      <w:tr w:rsidR="00B5318E" w:rsidRPr="00B5318E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5318E" w:rsidRPr="00B5318E">
        <w:trPr>
          <w:trHeight w:val="28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Единица измерения: руб.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ОКЕИ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  <w:vAlign w:val="bottom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383</w:t>
            </w:r>
          </w:p>
        </w:tc>
      </w:tr>
      <w:tr w:rsidR="00B5318E" w:rsidRPr="00B5318E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5318E" w:rsidRPr="00B5318E"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Чернышевский район. 1. ОРГАНИЗАЦИОННАЯ СТРУКТУРА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 Муниципальный район «Чернышевский район» (далее – муниципальный район) входит в состав Забайкальского края, расположен на северо-востоке края, в 392 км от города Читы.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 На севере муниципальный район граничит с 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Могочинским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районом, на востоке со Сретенским районом, на юге с Нерчинским районом, на западе с 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Тунгокоченским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районом.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 Административным центром муниципального района является поселок Чернышевск.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 В состав территории муниципального района входит четыре городских поселений и четырнадцать сельских поселений: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Городское поселение «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Аксеново- Зиловское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Городское поселение «Букачачинское»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Городское поселение «Жирекенское»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Городское поселение «Чернышевское»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Сельское поселение «Алеурское»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Сельское поселение «Байгульское»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Сельское поселение «Бушулейское»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Сельское поселение «Гаурское»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Сельское поселение «Икшицкое»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Сельское поселение «Комсомольское»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Сельское поселение «Курлыченское»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Сельское поселение «Мильгидунское»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Сельское поселение «Новоильинское»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Сельское поселение «Новооловское»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Сельское поселение «Старооловское»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Сельское поселение «Укурейское»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Сельское поселение «Урюмское»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Сельское поселение «Утанское»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 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Устав муниципального района принят решением Совета муниципального района от 21 октября 2014 года № 37 (в редакции решений совета муниципального района "Чернышевский район" от 09 июля 2015 года № 27, от 20 февраля 2016 года № 4, от 24 июня 2016 года № 23, от 28 декабря 2016 года № 25, от 12 мая 2017 года № 60,от 24 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ноября 2022г.), зарегистрирован Управлением Министерства юстиции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Российской Федерации по Забайкальскому краю.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 Структуру органов местного самоуправления муниципального района составляют: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Совет муниципального района «Чернышевский район»;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Глава муниципального района «Чернышевский район»;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Администрация муниципального района «Чернышевский район»;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Контрольно-счетная палата муниципального района «Чернышевский район».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 муниципального района является исполнительно-распорядительным органом по решению вопросов местного значения и наделена полномочиями для осуществления отдельных государственных полномочий, переданных органам местного самоуправления федеральными законами, законами Забайкальского края.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 Администрация муниципального района обладает правами юридического лица, имеет свою гербовую печать, штампы, счета в банке, финансируется из бюджета муниципального района.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Главой администрации муниципального района является глава муниципального района.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Положение об администрации муниципального района утверждено решением Совета муниципального района от 24 ноября 2022  № 58. Структура и схема управления администрации муниципального района "Чернышевский район" утверждена решение Совета муниципального района "Чернышевский район" от 24 ноября 2022 года № 57.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 Администрация муниципального района поставлена на налоговый учет в Межрайонной инспекции ФНС № 6 по Забайкальскому краю, основной государственный регистрационный номер – 1027500903264. Администрации муниципального района присвоен идентификационный номер налогоплательщика – юридического лица – 7525002160.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Местонахождение и юридический адрес администрации муниципального района – 673460, РФ, Забайкальский край, п. Чернышевск, ул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.К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алинина, 14б.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Отраслевым (функциональным) органом администрации муниципального района является Комитет по финансам администрации муниципального района. Комитет по финансам администрации муниципального района обеспечивает на территории муниципального района проведение единой финансовой, бюджетной и налоговой политики, осуществляет функции по составлению проекта бюджета муниципального района, исполнительно-распорядительные полномочия по управлению финансами муниципального района, а также координирует деятельность в этой сфере иных органов местного самоуправления.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 Положение о Комитете по финансам администрации муниципального района утверждено решением Совета муниципального района "Чернышевский район" от 13 октября 2017 № 84.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   Комитет по финансам администрации муниципального района обладает правами юридического лица, имеет свою гербовую печать, штампы, счета, открываемые в соответствии с законодательством РФ.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Сведения об основных направлениях деятельности (Таблица№1)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Контрольно-счетная палата: 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Постоянно действующий орган внешнего муниципального финансового контроля. Контрольно-счетная палата: Осуществляет внешний муниципальный финансовый контроль, а именно: 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бюджета МР Чернышевский район, проводит экспертизу проектов бюджета МР «Чернышевский район", проверку годового отчета, контроль за законностью, результативностью использования бюджетных средств.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Правовое обоснование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Контрольно-счетная палата: федеральный закон № 6-ФЗ от 07.02.2011 г. "Об общих принципах организации и деятельности контрольно-счетных органов субъектов РФ и муниципальных образований", закон Забайкальского края № 586-ЗЗК от 24.11.2011г. "Об отдельных вопросах организации деятельности контрольно-счетных органов муниципальных образований Забайкальского края", положение " О контрольно-счетной палате муниципального района "Чернышевский район", утвержденное Решением Совета муниципального района.</w:t>
      </w:r>
      <w:proofErr w:type="gramEnd"/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       Координация использования финансовых средств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(Централизованная бухгалтерия МКУ Комитет образования и молодежной политики, бухгалтерия Комитета культуры и спорта): 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Составление и предоставление бюджетной, бухгалтерской, статистической отчетности, оказание помощи в формировании муниципальных заданий на оказание муниципальных услуг (выполнение работ) для муниципальных учреждений, участие в оперативном решении вопросов финансирования муниципальных учреждений образования, культуры обеспечивает контроль за правильностью организации бухгалтерского учета и соблюдение государственной финансовой дисциплины в муниципальных образовательных учреждениях, осуществляет анализ финансово-экономической деятельности муниципальных учреждений.</w:t>
      </w:r>
      <w:proofErr w:type="gramEnd"/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Общеобразовательная деятельность: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Осуществление общеобразовательными учреждениями образовательных программ начального общего, основного общего и (или) среднего общего образования.</w:t>
      </w:r>
      <w:r w:rsidRPr="00B5318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Правовое обоснование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Федеральный закон "Об образовании в Российской Федерации" № 273-ФЗ от 29.12.2012 г., Закон Забайкальского края № 858-ЗЗК от 11.07.2013 г. "Об отдельных вопросах в сфере образования", Уставы муниципальных общеобразовательных учреждений муниципального района "Чернышевский район", лицензии муниципальных общеобразовательных учреждений муниципального района «Чернышевский район"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    Организация предупреждения и ликвидации последствий ЧС на территории района: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Создание целевого финансового резерва для предупреждения и ликвидации ЧС и последствий стихийных бедствий.</w:t>
      </w:r>
      <w:r w:rsidRPr="00B5318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Правовое обоснование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Федеральный закон от 06.10.2003 № 131-ФЗ "Об общих принципах организации местного самоуправления в Российской Федерации». Федеральный закон от 21.12.1994 № 68-ФЗ "О защите населения и территорий от чрезвычайных ситуаций природного и техногенного характера"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.Ф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едеральный закон от 12.02.1998 № 28-ФЗ "О гражданской обороне".Постановление Правительства Российской Федерации от 30.12.2003 № 794 "О единой государственной системе предупреждения и ликвидации чрезвычайных ситуаций".Закон Забайкальского края от 05.10.2009 № 248-ЗЗК "Об отдельных вопросах защиты населения и территорий Забайкальского края от чрезвычайных ситуаций природного и техногенного характера", Постановление Правительства Забайкальского края от 03.03.2009 № 84 "О резервах материальных ресурсов 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Забайкальского края для ликвидации чрезвычайных ситуаций межмуниципального и регионального характера".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   Организация библиотечного обслуживания населения библиотеками, комплектование и обеспечение сохранности их библиотечных фондов: 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Библиотечное обслуживание населения района.</w:t>
      </w:r>
      <w:r w:rsidRPr="00B5318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Правовое обоснование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Закон РФ от 09.10.1992г. № 3612-1 "Основы законодательства РФ о культуре", Закон Забайкальского края от 01.04.2009г. № 154-ЗЗК "О культуре», Устав муниципального учреждения культуры "Межпоселенческая центральная библиотека муниципального района "Чернышевский район", утвержденный постановлением администрации муниципального района "Чернышевский район" от 23.01.2015 г. № 71.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      Организация деятельности централизованных бухгалтерий, учебно-методического кабинета, группы хозяйственного обслуживания: 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Реализация бесперебойного и своевременного материально-технического снабжения образовательных учреждений, а также в целях учебно-методической и информационно-педагогической поддержки деятельности образовательных учреждений. </w:t>
      </w:r>
      <w:r w:rsidRPr="00B5318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Правовое обоснование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Закон РФ от 29.12.2012г. № 273-ФЗ "Об образовании в Российской Федерации", Закон Забайкальского края от 11.07.2013г. № 858-ЗЗК "Об отдельных вопросах в сфере образования"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    Организация предоставления дополнительного образования: 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Удовлетворение потребностей детей в области художественно-эстетического образования, обеспечение необходимых условий для личностного развития, профессионального самоопределения, развития творческих способностей детей. </w:t>
      </w:r>
      <w:r w:rsidRPr="00B5318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Правовое обоснование: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Закон РФ от 29.12.2012г. № 273-ФЗ "Об образовании в Российской Федерации", Закон Забайкальского края от 11.07.2013г. № 858-ЗЗК "Об отдельных вопросах в сфере образования", Устав муниципального учреждения дополнительного образования детей детская школа искусств п. Чернышевск Забайкальского края, утвержденный постановлением администрации муниципального района "Чернышевский район" от 22.04.2013г № 549, Устав муниципального образовательного учреждения дополнительного образования Дом детского творчества 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пгт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Чернышевск Забайкальского края, утвержденный постановлением администрации муниципального района "Чернышевский район" от13.01.2015г №14.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      Организация предоставления общедоступного бесплатного дошкольного образования: 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Реализация программ дошкольного образования. </w:t>
      </w:r>
      <w:r w:rsidRPr="00B5318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Правовое обоснование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Закон РФ от 29.12.2012г. № 273-ФЗ "Об образовании в Российской Федерации", Закон Забайкальского края от 11.07.2013г. № 858-ЗЗК "Об отдельных вопросах в сфере образования ", Уставы муниципальных дошкольных учреждений муниципального района "Чернышевский район", лицензии муниципальных дошкольных учреждений муниципального района "Чернышевский район"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         Организация предоставления общедоступного и бесплатного среднего общего образования по основным общеобразовательным программам: 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Реализация программ начального общего и основного общего образования. </w:t>
      </w:r>
      <w:r w:rsidRPr="00B5318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Правовое обоснование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Закон РФ от 29.12.2012г. № 273-ФЗ "Об образовании в Российской Федерации", Закон Забайкальского края от 11.07.2013г. № 858-ЗЗК "Об отдельных вопросах в сфере образования ", Уставы муниципальных общеобразовательных учреждений 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муниципального района "Чернышевский район", лицензии муниципальных общеобразовательных учреждений муниципального района "Чернышевский район".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     Организация развития на территории района физической культуры и массового спорта: 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для развития массовых и индивидуальных форм физкультурно-оздоровительной и спортивной работы на территории района со всеми возрастными и социальными группами и категориями населения.</w:t>
      </w:r>
      <w:r w:rsidRPr="00B5318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Правовое обоснование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Федеральный закон от 04.12.2007г. № 329-ФЗ "О физической культуре и спорте", Постановление Правительства Российской Федерации от 11.01.2006 № 7 "Об утверждении федеральной целевой программы "Развитие физической культуры и спорта в Российской Федерации на 2006 - 2015 годы"; Закон Забайкальского края от 01.04.2009 № 153-ЗЗК "О физической культуре и спорте в Забайкальском крае".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     Реализация государственной политики в сфере образования с учетом специфики социально-культурной среды (МКУ Комитет образования и молодежной политики): 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Руководство отраслью и координация деятельности учреждений муниципальной системы образования. </w:t>
      </w:r>
      <w:r w:rsidRPr="00B5318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Правовое обоснование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Положение о МКУ Комитет образования и молодежной политики администрации муниципального района "Чернышевского район" Забайкальского края;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Создание условий для обеспечения населения услугами по организации досуга и услугами организаций культуры</w:t>
      </w:r>
      <w:proofErr w:type="gramStart"/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Сохранение, создание и освоение культурных ценностей, предоставление культурных благ населению в различных формах и видах (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культурно-досуговое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библиотечное обслуживание). </w:t>
      </w:r>
      <w:r w:rsidRPr="00B5318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Правовое обоснование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Закон РФ от 09.10.1992г. № 3612-1 "Основы законодательства РФ о культуре", Закон Забайкальского края от 01.04.2009г. № 154-ЗЗК "О культуре»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    </w:t>
      </w:r>
      <w:proofErr w:type="spellStart"/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Фукционирование</w:t>
      </w:r>
      <w:proofErr w:type="spellEnd"/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органов местного самоуправления: 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 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вопросов непосредственного обеспечения жизнедеятельности населения района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Организация местного самоуправления на территории района, формирование, утверждение и исполнение бюджета. </w:t>
      </w:r>
      <w:r w:rsidRPr="00B5318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Правовое обоснование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Федеральный закон от 6.10.2003г № 131-ФЗ «Об общих принципах организации местного самоуправления в Российской Федерации», Решение Совета МР "Чернышевский район "Об утверждении Положения об администрации муниципального района "Чернышевский район, Устав муниципального района "Чернышевский район, Уставы городских, сельских поселений.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2. РЕЗУЛЬТАТЫ ДЕЯТЕЛЬНОСТИ.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Сведения о результатах деятельности 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Общее количество учреждений муниципального района «Чернышевский район» на 31.12.2022 года составило 74 единицы. Количество органов местного самоуправления на 31.12.2022 года не изменилось и составило 22 единицы в соответствии с отчетом о выполнении плана по сети, штатам и контингентам.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   Количество бюджетных учреждений на 31.12.2022 года составило 48 единиц, количество автономных учреждений не изменилось и составило 1 единица (редакция газеты «Наше время), количество казенных учреждений - 1 единица (МКУ Центр материально-технического обслуживания администрации муниципального района 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«Чернышевский район»), отдельными юридическими лицами являются Совет муниципального района "Чернышевский район" - 1, Контрольно-счетная палата - 1.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0100 Общегосударственные вопросы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 В целом по разделу 0100 исполнение составило 65 000,6 тыс. рублей или 99,3% к уточненному плану в сумме 65 462,1 тыс. рублей.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  Расходы на содержание главы муниципального района (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РзПз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0102) составили 2 297,9 тыс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ублей или 100% к уточненному плану в сумме 2 297,9тыс. рублей. Расходы на ФОТ составили 2 297,9 тыс. рублей, в т.ч. заработная плата 1 801,2 тыс. рублей.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 Расходы на содержание представительных органов (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РзПз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0103) составили 1 461,6 тыс. рублей или 100% к уточненному плану в сумме 1 461,3 тыс. рублей. Расходы на ФОТ составили 1 461,6 тыс. рублей, в т.ч. заработная плата 1 128,8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тыс. рублей.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  Расходы на содержание органов местного самоуправления муниципальных образований (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РзПз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0104) составили 24 533,8 тыс. рублей или 99,9% к уточненному плану в сумме 24 537,1 тыс. рублей. Расходы на ФОТ составили 23 451,4 тыс. рублей, в т.ч. заработная плата 18 146,3 тыс. рублей.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Расходы на осуществление полномочий по составлению (изменению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)с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писков кандидатов в присяжные заседатели федеральных судов общей юрисдикции в РФ (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РзПз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0105) составили 55,8 тыс. рублей или 51,1% к уточненному плану в сумме 109,3 тыс. рублей.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Расходы на содержание финансовых органов (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РзПз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0106) составили 10 351,0 тыс. рублей или 99,7 % к уточненному плану в сумме 10 384,7 тыс. рублей. Расходы на ФОТ составили  9 248,0 тыс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ублей,  в т.ч. заработная плата 7 133,7 тыс.рублей.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 Расходы на решение других вопросов органов местного самоуправления (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РзПз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0113)    составили  26 300,4 тыс. рублей или 98,6% к уточненному плану в сумме 26 671,4 тыс. рублей. Расходы на ФОТ составили  13 620,2 тыс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ублей,  в т.ч. заработная плата 10 466,1 тыс.рублей.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  </w:t>
      </w: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0300 Национальная безопасност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 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 Расходы по предупреждению и ликвидации чрезвычайной ситуации (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РзПз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0309) составили 6 521,5 тыс. рублей или 100% к уточненному плану в сумме 6 521,5 тыс. рублей. По данному разделу отражены в т.ч. расходы на содержание единой дежурной диспетчерской службы администрации муниципального района «Чернышевский район»  в сумме 6 521,5 тыс. рублей, в т.ч. ФОТ 3 433,4 тыс. рублей из них заработная плата 2 697,8тыс. рублей. 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  </w:t>
      </w: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Раздел 0400 Национальная экономика 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По  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РзПз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0405 отражены расходы в сумме 18 634,4 тыс. рублей или 98,9 % к уточненному плану в сумме 18 839,6 тыс. рублей. В том числе: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- расходы на реализацию  мероприятий по комплексному развитию сельских территорий в сумме 69 021,2 тыс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ублей, из них за счёт средств федерального бюджета 66 964,3 тыс. рублей, за счёт средств краевого бюджета 1 366,7 тыс. рублей, за счёт 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средств местного бюджета 690,2 тыс. рублей (ремонт МОУ СОШ № 70 ,строительство электросетей, строительство спортивной площадки в г/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"Аксеново-Зиловское").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-расходы 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организацию мероприятий при осуществлении деятельности по обращению животными без владельцев в сумме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1 822,6 тыс. рублей, за счёт средств краевого бюджета.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-расходы 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сумме 95,9 тыс. рублей, за счёт средств краевого бюджета.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По 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РзПз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0409 отражены расходы на ремонт и содержание автомобильных дорог за счет дорожного фонда администрации муниципального района, средств субсидий из краевого бюджета на ремонт автодорог. Расходы составили 75 516,5 тыс. рублей или 89,1 % к уточненному плану в сумме 84 766,3тыс. рублей. В 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точ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числе: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-расходы на восстановление автомобильных дорог регионального или межмуниципального и местного значения при ликвидации последствий чрезвычайных ситуаций в сумме 47 526,1 тыс. рублей, за счёт средств федерального бюджета.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-расходы на восстановление автомобильных дорог общего пользования местного значения при ликвидации последствий ЧС в сумме 6 864,6 тыс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ублей, за счет средств краевого бюджета.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-расходы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 в сумме 5 488,1 тыс. рублей, за счёт краевого бюджета 4 939,3 тыс. рублей, за счёт средств местного бюджета 548,8 тыс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ублей.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-расходы за счёт средств дорожного фонда муниципального района "Чернышевский район" в сумме 15 637,7 тыс. рублей.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  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РзПз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0412 отражены расходы на администрирование по льготному проезду в сумме 1,4 тыс. рублей или 100% к уточненному плану, а также расходы на проведение комплексных кадастровых работ в сумме 318,0 тыс. рублей или 100% к уточненному плану, за счёт средств федерального бюджета  286,8 тыс. рублей, за счёт средств краевого бюджета 28,4тыс. рублей, за счёт местного бюджета 2,8 тыс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рублей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0500 Жилищно-коммунальное хозяйство 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  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         По 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РзПз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0502 отражены расходы на модернизацию объектов теплоэнергетики и капитальный ремонт объектов коммунальной инфраструктуры, находящихся в муниципальной собственности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Расходы составили 1 460,0 тыс. рублей или 100% к уточненному плану в сумме 1 460,0 тыс. рублей, за счёт средств краевого бюджета 1 433,7 тыс.рублей, за счёт местного бюджета 26,3 тыс.рублей.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     Раздел 0700 Образование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    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Кассовые расходы по разделу 0700 "Образование" составили 943 695,0 тыс. рублей или 99,9 % к уточненному плану в сумме 944 930,0 тыс. рублей, из них по бюджетным учреждениям 905 416,0 тыс. рублей, по казенным 38 279,0 тыс. рублей.</w:t>
      </w:r>
      <w:proofErr w:type="gramEnd"/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                 </w:t>
      </w: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0701 Дошкольное образование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Количество дошкольных учреждений в Чернышевском районе не изменилось и составляет 17 единиц.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      Штатная численность по  подразделу 0701 «Дошкольное образование» по состоянию на 01.01.2023 составила 402 ед. или увеличилась по сравнению с началом года на 1 ед. (сокращение - 19,54 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увеличение  - 21,06 ед. в т.ч. дополнительная сеть, в связи с открытием пристроек к МДОУ детский сад 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Аленушка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.Ч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ернышевск,  МДОУ детский сад Зернышко 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с.Алеур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ввод - 17,04) 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    Количество 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работников уменьшилось на 1 ед., в т.ч. воспитателей на 1 ед. и составило 140 ед., в т.ч. воспитателей 106 ед.  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    Количество руководящих работников уменьшилось на 1 </w:t>
      </w:r>
      <w:proofErr w:type="spellStart"/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</w:t>
      </w:r>
      <w:proofErr w:type="spellEnd"/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составило 17 ед. 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 По прочему персоналу штатная численность увеличилась на 3 ед. и составила 245 ед.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 Количество детей по сравнению с началом года увеличилось на 6 человек.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    Среднесписочная численность 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работников составляет 130 ед. (129 списочный состав и 1 внешних совместителя)  с начисленной заработной платой 45 360 тыс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ублей.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  Средняя заработная плата педагогических работников дошкольного образования с учетом внешних совместителей  составила 29,08 тыс. рублей. Установленный показатель по средней заработной плате педагогических работников дошкольного образования составил на 2022 год 30,11 тыс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ублей, показатель достигнут на 96,58 %, что допустимо. 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  Средняя заработная плата руководящих работников составила  38,61 тыс. рублей.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  Средняя заработная плата прочего персонала составила 29,23  тыс. рублей.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   Кассовые расходы по разделу 0701 составили 292 839,6 тыс. рублей или 99,7 % к уточненному плану в сумме 293 687,1 тыс. рублей, в том числе: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-расходы на реализацию мероприятий по созданию дополнительных мест для детей в возрасте от 1,5 до 3 лет в сумме 23 579,9 тыс. рублей, за счёт средств федерального бюджета 22 877,2 тыс. рублей, за счёт сре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 кр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аевого бюджета 466,9 тыс. рублей, за счёт средств местного бюджета 235,8 тыс. рублей.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-расходы на создание дополнительных мест для детей в возрасте до 3 лет в образовательных организациях, осуществляющих образовательную деятельность по образовательным программам дошкольного образования в сумме 13 706,5 тыс. рублей, за счет сре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 кр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аевого бюджета 13 569,4 тыс. рублей, за счёт средств местного бюджета 137,1 тыс. рублей.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-расходы на проведение мероприятий по капитальному ремонту объектов образования, поврежденных в результате чрезвычайной ситуации, вызванной прохождением комплекса неблагоприятных метеорологических явлений, связанных с выпадением обильных осадков на территории Забайкальского края в 2021 году, за счёт средств резервного фонда Правительства Российской Федерации в сумме 26 452,7 тыс. рублей.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-расходы за счёт субвенции на обеспечение государственных гарантий прав граждан на получение общедоступного и бесплатного дошкольного, общего образования в сумме 115 486,0 тыс. рублей, за счёт сре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 кр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аевого бюджета.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   -расходы на обеспечение дополнительной меры социальной поддержки отдельной категории граждан РФ в виде 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невзимания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 в сумме 191,9 тыс. рублей, за счёт сре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 кр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аевого бюджета.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-расходы на реализацию муниципальной подпрограммы "Повышение качества и доступности дошкольного образования" муниципальной программы "Развитие образования в Чернышевском районе на 2021-2025 годы" в сумме 22 700,8 тыс. рублей, за счёт средств муниципального района.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- расходы на текущее содержание учреждений в сумме 90 721,8 тыс. рублей, за счёт средств местного бюджета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0702 Общее образование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   Количество общеобразовательных учреждений составляет 22 единицы, из них 3 начальных школы, 6 неполных средних и 13 средних.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  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Штатная численность по общеобразовательным учреждениям  по состоянию на 01.01.2023 составила 900 ед. или уменьшилась по сравнению с началом года на 24 ед., в том числе штатная численность  педагогических работников  уменьшилась на 20 ед. (из них 6 воспитателей) и составила 545 ед.,   штатная численность руководящих работников не изменилась и составила 53 ед., по  прочему персоналу  численность уменьшилась на  4ед. и составила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302 ед.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  Средняя заработная плата  по общеобразовательным учреждениям за 2022 год составила 36,9 тыс. рублей, в том числе: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педагогические работники 40,2 тыс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уб. (установленный показатель 38,92 тыс. рублей);   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руководящие работники 38,1 тыс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прочий персонал 32,5 тыс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   Общий объем кассовых расходов составил 560 187,5 тыс. рублей или 99,9 % к уточненному плану в сумме 560 398,2 тыс. рублей. В том числе: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-расходы на проведение мероприятий по капитальному ремонту объектов образования, поврежденных в результате чрезвычайной ситуации, вызванной прохождением комплекса неблагоприятных метеорологических явлений, связанных с выпадением обильных осадков на территории Забайкальского края в 2021 году, за счёт средств резервного фонда Правительства Российской Федерации в сумме 23 466,2 тыс. рублей.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-расходы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сумме 30 838,5 тыс. рублей, за счёт средств федерального бюджета.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-расходы на обеспечение бесплатного горячего питания обучающихся, получающих начальное общее образования в муниципальных образовательных организациях в сумме 30 696,3 тыс. рублей, за счёт средств федерального бюджета 27 654,3 тыс. рублей, за счёт сре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 кр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аевого бюджета 2 735,0 тыс. рублей, за счёт средств местного бюджета 307,0 тыс. рублей.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  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-расходы на 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организаций в сумме 6 132,4 тыс. рублей, за счёт средств краевого бюджета.</w:t>
      </w:r>
      <w:proofErr w:type="gramEnd"/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-расходы за счёт субвенции на обеспечение государственных гарантий прав граждан на получение общедоступного и бесплатного дошкольного, общего образования в сумме 275 429,6 тыс. рублей, за счёт сре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 кр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аевого бюджета.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-расходы обеспечение льготным питанием детей из малоимущих 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семей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,о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бучающихся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муниципальных общеобразовательных организациях Забайкальского края в сумме 3 390,7 тыс. рублей, за счёт средств краевого бюджета.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-расходы на 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дополнительну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меру социальной поддержки отдельной категории граждан РФ в виде обеспечения льготным питанием их детей, обучающихся в 5-11 классах в муниципальных общеобразовательных организациях Забайкальского края в сумме 195,3 тыс. рублей, за счет сре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 кр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аевого бюджета.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-расходы на реализацию муниципальной программы "Энергосбережение и повышение энергетической эффективности в муниципальном районе "Чернышевский район" на 2021-2025 годы" в сумме 409,2 тыс. рублей, за счёт местного бюджета.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-расходы на реализацию мероприятий муниципальной подпрограммы "Повышение качества и доступности общего образования" муниципальной программы "Развитие образования в Чернышевском районе на 2021-2025 годы" в сумме 7 697,1 тыс. рублей, за счёт средств местного бюджета.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-расходы на текущее содержание учреждений в сумме 181 932,2 тыс. рублей, за счёт средств местного бюджета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0703 Дополнительное образование детей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   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Количество внешкольных учреждений на 01.01.2023 года не изменилось и составило 3 ед. Штатная численность увеличилась на 7 ед. и составила 119 ед. (в связи с вводом построенного физкультурно-оздоровительного комплекса "Олимп". </w:t>
      </w:r>
      <w:proofErr w:type="gramEnd"/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   Общий объем кассовых расходов на содержание внешкольных учреждений составил 48 396,5 тыс. рублей, или 99,7 % к уточненному плану в сумме 48 530,0 тыс. рублей.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   Средняя заработная плата  по учреждениям дополнительного образования в 2022 году составила 35,3 тыс. рублей, в том числе: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-педагогические работники 36,3 тыс. рублей;    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-руководящие работники 56,7 тыс. рублей;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прочий персонал 29,1 тыс. рублей.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0800 Культура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учреждениям культуры расходы составили 66 457,6 тыс. рублей или 98,7 % к уточненному плану в сумме 67 322,9 тыс. рублей, по бюджетным учреждениям расходы составили 54 498,9 тыс. рублей, в т.ч.: клубы – 31 720,1 тыс. руб.,  музей – 6 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626,5 тыс. рублей,  библиотека – 16 152,6 тыс. рублей, по казенным учреждениям – 11 958,7 тыс. рублей.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 том числе: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-расходы на поддержку отрасли культуры в сумме 172,0 тыс. рублей, за счет средств федерального бюджета 156,5 тыс. рублей, за счет сре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 кр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аевого бюджета 15,5 тыс. рублей.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-расходы на техническое оснащение муниципальных музеев  в сумме 721,5 тыс. рублей, за счет средств федерального бюджета 650,0 тыс. рублей, за счет сре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 кр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аевого бюджета 64,3 тыс. рублей, за счет средств местного бюджета 7,2 тыс. рублей.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-расходы на реализацию мероприятий муниципальной подпрограммы "Обеспечение историко-культурного  наследия, традиционной народной культуры" муниципальной программы "Развитие культуры и спорта в Чернышевском районе" в сумме 100,0 тыс. рублей, за счет средств местного бюджета.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-расходы на реализацию мероприятий муниципальной подпрограммы "Сохранение и развитие библиотечных учреждений" муниципальной программы "Развитие культуры и спорта в Чернышевском районе" в сумме 642,01 тыс. рублей, за счет средств местного бюджета.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-расходы на реализацию мероприятий по восстановлению объектов культуры, поврежденных в результате чрезвычайной ситуации, вызванной прохождением комплекса неблагоприятных метеорологических явлений, связанных  с выпадением обильных осадков на территории Забайкальского края в июне-августе 2021 году, за счет средств резервного фонда Правительства РФ в сумме 7 259,7 тыс. рублей.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-расходы на текущее содержание учреждений в сумме 57 562,3 тыс. рублей, за счёт средств местного бюджета.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   Среднесписочная численность  работников культуры  составляет 74,2 ед. (клуб 44,3 музей 3,5 библиотека 26,4). Средняя заработная плата работников культуры составила 34,0 тыс. рублей. 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1000 Социальная политика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Кассовые расходы по разделу 1000 составили 31 322,6 тыс. рублей или 99,9 % к уточненному плану в сумме 31 322,6 тыс. рублей.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 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РзПз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1001 отражены расходы на 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пенсионное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обеспечению. Расходы составили 4 868,9 тыс. рублей или 100% к уточненному плану в сумме 4 868,9тыс. рублей.   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По 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РзПз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1003 отражены расходы по социальному обеспечению населения. Расходы составили 3 827,3 тыс. рублей или 100 % к уточненному плану в сумме 3 827,3тыс. рублей. В том числе: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-расходы на осуществление 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.п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олномочий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в сумме 3 627,3 тыс. рублей, за счет средств краевого бюджета.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-расходы на реализацию мероприятий муниципальной подпрограммы "Содействие занятости населения" муниципальной программы "Развитие образования в Чернышевском районе на 2021-2025 годы" в сумме 200,0 тыс. рублей, за счет средств местного бюджета.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        По 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РзПз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1004 отражены расходы по охране семьи и детства. Расходы составили 21 026,2 тыс. рублей или 99,9 % к уточненному плану в сумме 21 026,4 тыс. рублей. В том числе: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-расходы на реализацию мероприятий по обеспечению жильем молодых семей в сумме 5 015,5 тыс. рублей, за счет средств федерального бюджета 4 087,8 тыс. рублей, за счет сре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 кр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аевого бюджета 404,3 тыс. рублей, за счет средств местного 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бюдежета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523,4 тыс. рублей.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-расходы на реализацию 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.п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олномочия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организации и осуществлению деятельности по опеке и попечительству над несовершеннолетними в сумме 16 010,9 тыс. рублей, за счет средств краевого бюджета 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     По 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РзПз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1006 отражены расходы по реализации мероприятий муниципальной программы «Доступная среда». Расходы составили 1 600,0 тыс. рублей или 100 %, за счет средств местного бюджета.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1100 Физическая культура и спорт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  Кассовые расходы по разделу 1100 составили 11 809,9 тыс. рублей или 95,2% к уточненному плану в сумме 12 399,3 тыс. рублей, за счет средств местного бюджета.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По 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РзПз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1101 отражены расходы на мероприятия в области физической культуры и спорта. Расходы составили 270,3 тыс. рублей или 100 % к уточненному плану в сумме 270,3тыс. рублей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  По разделу отражены расходы на содержание ФОК "Багульник" штатной численностью 20 ед. Кассовые расходы составили 11 539,6 тыс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уб. или 95,2 % к уточненному плану в сумме 12 129,1 тыс. рублей, из них заработная плата 6 624,0 тыс. рублей. Средняя заработная плата составила 27,6 тыс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ублей.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</w:t>
      </w: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1200 Средства массовой информации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разделу отражены расходы на периодическую печать и издательства. Расходы составили 830,0 тыс. рублей или 100 % к уточненному плану, за счет средств местного бюджета.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1300 Обслуживание государственного долга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разделу отражены расходы на обслуживание государственного (муниципального) внутреннего долга. Кассовые расходы составили 16,8 тыс. рублей или 97,7 % к уточненному плану в сумме 17,2 тыс. рублей, за счет средств местного бюджета.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1400 Межбюджетные трансферты 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Кассовые расходы по разделу 1400 составили 204 126,3 тыс. рублей или 94,3% к уточненному плану в сумме 216 436,9 тыс. рублей.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По разделу 1401 расходы составили 22 713,0 тыс. рублей или 100 % к 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уточнненому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плану, в том числе: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-расходы за счет дотации на 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выранивание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уровня бюджетной обеспеченности в сумме 18 000,0 тыс. рублей, за счет средств местного бюджета.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   -расходы за счет субвенции на предоставление 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дотациий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поселениям на выравнивание бюджетной обеспеченности в сумме 4 713,0 тыс. рублей, за счет сре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 кр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аевого бюджета.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разделу 1402 отражены расходы за счет дотации на поддержку мер по обеспечению сбалансированности бюджетов муниципальных районов в сумме 8 545,0 тыс. рублей, за счет сре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 кр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аевого бюджета.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раззделу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1403 отражены расходы за счет прочих межбюджетных трансфертов общего характера в сумме 172 868,3 тыс. рублей, за счет средств федерального бюджета 68 449,1 тыс. рублей, за счет сре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 кр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аевого бюджета 38 455,2 тыс. рублей, за счет средств местного бюджета 65 964,0 тыс. рублей.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       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10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Сведения об исполнении районного бюджета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10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Районный бюджет муниципального района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Доходы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Доходы бюджета района за 2022 год исполнены в сумме 301 037,5тыс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уб., или на 101,1% к уточненным годовым бюджетным назначениям, которые  составили в сумме 297 780,4 тыс.руб. 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 сравнению с утвержденным планом на 2022 год (276 938,1 тыс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уб.), доходы по собственному бюджету перевыполнены  на  сумму 24 099,4 тыс.руб.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сравнении с 2021 годом наблюдается увеличение объемов поступлений собственных доходов бюджета района на 8,8% или на </w:t>
      </w: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24 560,7 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тыс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уб., в том числе: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за счет увеличения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поступлений на сумму 27 756,5 тыс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уб. по следующим видам доходов: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3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налога на доходы физических лиц на сумму 15 001,0тыс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уб. и на сумму 25 242,5тыс.руб. в сопоставимых  условиях;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3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налогов на товары (работы, услуги), реализуемые на территории РФ на сумму 4 177,3 тыс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уб.;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3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налога, взимаемого в связи с применением упрощенной системы налогообложения, на сумму 2 486,9тыс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уб.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3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единого сельскохозяйственного налога на сумму 110,8 тыс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уб. 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3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-налога, взимаемого в связи с применением патентной системы налогообложения, на сумму 1 166,1 тыс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уб.;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3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государственной пошлины на сумму 1 449,8тыс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уб.;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3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налогов, сборов и регулярных платежей за пользование природными ресурсами на сумму 1 043,3 тыс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уб.; 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-доходов от использования имущества, находящегося в государственной и муниципальной собственности на сумму 812,8 тыс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уб.;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3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платежей при пользовании природными ресурсами на сумму 222,5тыс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уб.;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3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доходов от оказания платных услуг и компенсации затрат государства в сумме 582,3тыс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уб. в связи с 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возвратом в 2022 году дебиторской задолженности прошлых лет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3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-доходов от продажи материальных и нематериальных активов на сумму 23,9 тыс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уб., в связи с продажей в 2022 году имущества муниципального района.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- штрафов, санкций, возмещения ущерба на сумму 679,8 тыс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за счет снижени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я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поступлений на сумму 3 195,8тыс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уб. по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следующим видам доходов: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единого налога на вмененный доход для отдельных видов деятельности на сумму 2 295,5 тыс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уб.,  в связи с отменой налогового режима с  01.01.2021 года;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прочих неналоговых доходов в сумме 900,3 тыс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уб.,  в связи с поступлением в 2021 году 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финансовой помощи муниципальному району. 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Следует отметить, что стабильная положительная динамика фактических поступлений на протяжении трех лет наблюдается по налогу на доходы физических лиц, который является  основным источником собственных доходов; налогу, взимаемому в связи с применением патентной системы налогообложения; государственной пошлине. В общем объеме налоговых и неналоговых доходов 2022 года доля налога на доходы физических лиц  составляет 73,4%. 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 целях проведения эффективной финансовой, бюджетной и налоговой 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политики, координации взаимодействия территориальных органов федеральных органов исполнительной власти, органов местного самоуправления по реализации мер, направленных на мобилизацию налоговых доходов в бюджет  Чернышевского района, создание  условий  для  погашения  налогоплательщиками  задолженности  в бюджеты  всех  уровней, предупреждение  банкротства  организаций  постановлением администрации муниципального района «Чернышевский район» от 16 июля 2010 года № 715 создана  Межведомственная комиссия по мобилизации доходов в консолидированный бюджет муниципального района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«Чернышевский район»  (в ред. от 15.02.17г. №62).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Особое внимание комиссии уделяется вопросам работы с недоимкой по налогу на доходы физических лиц; налогу, взимаемого в связи с применением упрощенной системы налогообложения; налогу, взимаемого в связи с применением патентной системы налогообложения.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 результатам работы Межведомственной комиссии в 2022 году в консолидированный бюджет Забайкальского края поступила задолженность в общей сумме </w:t>
      </w: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11 176,4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тыс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уб. 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Основными проблемами работы Межведомственной комиссии по мобилизации доходов в бюджет района являются: 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-низкая явка руководителей организаций и индивидуальных предпринимателей; 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-отсутствие рычагов воздействия на недобросовестных руководителей и индивидуальных предпринимателей; 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-отсутствие полномочий по привлечению к административной ответственности руководителей организаций, которые не являются на заседания;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Несмотря на указанные проблемы, работа Межведомственной комиссии по мобилизации налоговых доходов по-прежнему актуальна, о чем свидетельствуют вышеизложенные результаты. 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Ведется работа по своевременной уплате налогов обособленными подразделениями, расположенных на территории района, направляются почтовыми письмами уведомления об уплате налогов в бюджет Чернышевского района.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 целях увеличения поступлений налогов и других обязательных платежей в консолидированный бюджет муниципального района «Чернышевский район», и 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усиления 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соблюдением  финансовой, бюджетной  и налоговой  дисциплины  разработан: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 Комплексный план мероприятий  по мобилизации налоговых и неналоговых доходов в консолидированный бюджет муниципального района «Чернышевский район».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 План мероприятий по увеличению поступлений имущественных налогов и неналоговых доходов в консолидированный бюджет муниципального  района «Чернышевский район».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Администраторами неналоговых доходов проводятся мероприятия по взысканию задолженности в досудебном порядке и направляются  претензии с требованием погасить задолженность. В случае непогашения в установленный срок документы передаются в Арбитражный суд для принудительного взыскания задолженности. 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 Все «невыясненные поступления» незамедлительно отрабатываются – составляются «Уведомления администратора поступлений в бюджет об уточнении вида и принадлежности поступлений» и отправляются в Управление Федерального Казначейства по Забайкальскому  краю. 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Комитетом  по финансам за 2022 год отработано </w:t>
      </w: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159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запросов на выяснение принадлежности платежа на общую  сумму  </w:t>
      </w: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5 442,1 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Сведения об исполнении мероприятий в рамках целевых программ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bookmarkStart w:id="0" w:name="_dx_frag_StartFragment"/>
      <w:bookmarkEnd w:id="0"/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 </w:t>
      </w:r>
    </w:p>
    <w:tbl>
      <w:tblPr>
        <w:tblW w:w="10662" w:type="dxa"/>
        <w:tblInd w:w="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7"/>
        <w:gridCol w:w="14"/>
        <w:gridCol w:w="1811"/>
        <w:gridCol w:w="315"/>
        <w:gridCol w:w="3686"/>
        <w:gridCol w:w="1736"/>
        <w:gridCol w:w="1823"/>
      </w:tblGrid>
      <w:tr w:rsidR="00B5318E" w:rsidRPr="00B5318E" w:rsidTr="00B5318E">
        <w:trPr>
          <w:trHeight w:val="1108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left="-560" w:right="40" w:firstLine="5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4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left="-260" w:firstLine="2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 целевых программ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Уточненные бюджетные назначения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B5318E" w:rsidRPr="00B5318E" w:rsidTr="00B5318E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5318E" w:rsidRPr="00B5318E" w:rsidTr="00B5318E">
        <w:trPr>
          <w:trHeight w:val="735"/>
        </w:trPr>
        <w:tc>
          <w:tcPr>
            <w:tcW w:w="7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B6DDE8"/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I. Федеральные программы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B6DDE8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         88 694,90  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B6DDE8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         88 593,00   </w:t>
            </w:r>
          </w:p>
        </w:tc>
      </w:tr>
      <w:tr w:rsidR="00B5318E" w:rsidRPr="00B5318E" w:rsidTr="00B5318E">
        <w:trPr>
          <w:trHeight w:val="746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0"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00000L5760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Субсидия на обеспечение комплексного развития сельских территорий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58 209,10  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58 208,90   </w:t>
            </w:r>
          </w:p>
        </w:tc>
      </w:tr>
      <w:tr w:rsidR="00B5318E" w:rsidRPr="00B5318E" w:rsidTr="00B5318E">
        <w:trPr>
          <w:trHeight w:val="764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00000L5110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Субсидия на проведение комплексных кадастровых работ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2 612,60  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2 612,60   </w:t>
            </w:r>
          </w:p>
        </w:tc>
      </w:tr>
      <w:tr w:rsidR="00B5318E" w:rsidRPr="00B5318E" w:rsidTr="00B5318E">
        <w:trPr>
          <w:trHeight w:val="387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000P25232F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Реализация мероприятия</w:t>
            </w:r>
            <w:proofErr w:type="gramStart"/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"С</w:t>
            </w:r>
            <w:proofErr w:type="gramEnd"/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оздание дополнительных мест для детей в возрасте от 1,5 до трех лет в образовательных организациях, осуществляющих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образовательную деятельность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 образовательным программам дошкольного образования, за счет средств резервного фонда Правительства Российской Федерации.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22 978,90  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22 877,20   </w:t>
            </w:r>
          </w:p>
        </w:tc>
      </w:tr>
      <w:tr w:rsidR="00B5318E" w:rsidRPr="00B5318E" w:rsidTr="00B5318E">
        <w:trPr>
          <w:trHeight w:val="526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00000L5190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Субсидия на поддержку отрасли культуры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156,50  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156,50   </w:t>
            </w:r>
          </w:p>
        </w:tc>
      </w:tr>
      <w:tr w:rsidR="00B5318E" w:rsidRPr="00B5318E" w:rsidTr="00B5318E">
        <w:trPr>
          <w:trHeight w:val="650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0801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000А155900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Реализация мероприятий по техническому оснащению музеев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650,00  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650,00   </w:t>
            </w:r>
          </w:p>
        </w:tc>
      </w:tr>
      <w:tr w:rsidR="00B5318E" w:rsidRPr="00B5318E" w:rsidTr="00B5318E">
        <w:trPr>
          <w:trHeight w:val="1470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00000L4970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Реализация мероприятий подпрограммы "Обеспечение жильем молодых семей" государственной программы Забайкальского края "Развитие территорий и жилищная политика Забайкальского края"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4 087,80  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4 087,80   </w:t>
            </w:r>
          </w:p>
        </w:tc>
      </w:tr>
      <w:tr w:rsidR="00B5318E" w:rsidRPr="00B5318E" w:rsidTr="00B5318E">
        <w:trPr>
          <w:trHeight w:val="750"/>
        </w:trPr>
        <w:tc>
          <w:tcPr>
            <w:tcW w:w="7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B6DDE8"/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II. Краевые программы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B6DDE8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         17 909,30  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B6DDE8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         17 196,90   </w:t>
            </w:r>
          </w:p>
        </w:tc>
      </w:tr>
      <w:tr w:rsidR="00B5318E" w:rsidRPr="00B5318E" w:rsidTr="00B5318E">
        <w:trPr>
          <w:trHeight w:val="721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00000L5760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Субсидия на обеспечение комплексного развития сельских территорий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1 188,00  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1 188,00   </w:t>
            </w:r>
          </w:p>
        </w:tc>
      </w:tr>
      <w:tr w:rsidR="00B5318E" w:rsidRPr="00B5318E" w:rsidTr="00B5318E">
        <w:trPr>
          <w:trHeight w:val="58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00000L5110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Субсидия на проведение комплексных кадастровых работ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  28,40  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  28,40   </w:t>
            </w:r>
          </w:p>
        </w:tc>
      </w:tr>
      <w:tr w:rsidR="00B5318E" w:rsidRPr="00B5318E" w:rsidTr="00B5318E">
        <w:trPr>
          <w:trHeight w:val="12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00000S4905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Реализация подпрограммы Забайкальского края "Модернизация объектов коммунальной инфраструктуры" (мероприятия по подготовке к осенне-зимнему периоду)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1 460,00  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1 460,00   </w:t>
            </w:r>
          </w:p>
        </w:tc>
      </w:tr>
      <w:tr w:rsidR="00B5318E" w:rsidRPr="00B5318E" w:rsidTr="00B5318E">
        <w:trPr>
          <w:trHeight w:val="14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000P2S1443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Создание дополнительных мест для детей в возрасте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14 279,90  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13 569,50   </w:t>
            </w:r>
          </w:p>
        </w:tc>
      </w:tr>
      <w:tr w:rsidR="00B5318E" w:rsidRPr="00B5318E" w:rsidTr="00B5318E">
        <w:trPr>
          <w:trHeight w:val="222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000P25232F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Реализация мероприятия</w:t>
            </w:r>
            <w:proofErr w:type="gramStart"/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"С</w:t>
            </w:r>
            <w:proofErr w:type="gramEnd"/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оздание дополнительных мест для детей в возрасте от 1,5 до трех лет в образовательных организациях, </w:t>
            </w:r>
            <w:proofErr w:type="spellStart"/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осуществляющихобразовательную</w:t>
            </w:r>
            <w:proofErr w:type="spellEnd"/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деятельностьпо</w:t>
            </w:r>
            <w:proofErr w:type="spellEnd"/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образовательным программам дошкольного образования, за счет средств резервного фонда Правительства Российской Федерации.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468,90  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466,90   </w:t>
            </w:r>
          </w:p>
        </w:tc>
      </w:tr>
      <w:tr w:rsidR="00B5318E" w:rsidRPr="00B5318E" w:rsidTr="00B5318E">
        <w:trPr>
          <w:trHeight w:val="44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00000L5190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Субсидия на поддержку отрасли культуры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  15,50  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  15,50   </w:t>
            </w:r>
          </w:p>
        </w:tc>
      </w:tr>
      <w:tr w:rsidR="00B5318E" w:rsidRPr="00B5318E" w:rsidTr="00B5318E">
        <w:trPr>
          <w:trHeight w:val="17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000А155900</w:t>
            </w:r>
          </w:p>
        </w:tc>
        <w:tc>
          <w:tcPr>
            <w:tcW w:w="40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Реализация мероприятий по техническому оснащению музеев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  64,30  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  64,30   </w:t>
            </w:r>
          </w:p>
        </w:tc>
      </w:tr>
      <w:tr w:rsidR="00B5318E" w:rsidRPr="00B5318E" w:rsidTr="00B5318E">
        <w:trPr>
          <w:trHeight w:val="15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00000L4970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Реализация мероприятий подпрограммы "Обеспечение жильем молодых семей" государственной программы Забайкальского края "Развитие территорий и жилищная политика Забайкальского края"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404,30  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404,30   </w:t>
            </w:r>
          </w:p>
        </w:tc>
      </w:tr>
      <w:tr w:rsidR="00B5318E" w:rsidRPr="00B5318E" w:rsidTr="00B5318E">
        <w:trPr>
          <w:trHeight w:val="465"/>
        </w:trPr>
        <w:tc>
          <w:tcPr>
            <w:tcW w:w="7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B6DDE8"/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III. Целевые муниципальные программы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B6DDE8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         38 099,60  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B6DDE8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         37 815,30   </w:t>
            </w:r>
          </w:p>
        </w:tc>
      </w:tr>
      <w:tr w:rsidR="00B5318E" w:rsidRPr="00B5318E" w:rsidTr="00B5318E">
        <w:trPr>
          <w:trHeight w:val="11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0113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0100079500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'Реализация мероприятий по муниципальной подпрограмме "Улучшение условий и охраны труда в муниципальном районе "Чернышевский район"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  20,00  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  20,00   </w:t>
            </w:r>
          </w:p>
        </w:tc>
      </w:tr>
      <w:tr w:rsidR="00B5318E" w:rsidRPr="00B5318E" w:rsidTr="00B5318E">
        <w:trPr>
          <w:trHeight w:val="103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0200079500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Реализация мероприятий по муниципальной программе "Управление земельно-имущественным комплексом   муниципального района "Чернышевский район"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2 324,30  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2 324,30   </w:t>
            </w:r>
          </w:p>
        </w:tc>
      </w:tr>
      <w:tr w:rsidR="00B5318E" w:rsidRPr="00B5318E" w:rsidTr="00B5318E">
        <w:trPr>
          <w:trHeight w:val="115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0300079500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Реализация мероприятий по муниципальной программе "Гармонизация межнациональных и межконфессиональных отношений на территории муниципального района "Чернышевский район"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  15,00  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  15,00   </w:t>
            </w:r>
          </w:p>
        </w:tc>
      </w:tr>
      <w:tr w:rsidR="00B5318E" w:rsidRPr="00B5318E" w:rsidTr="00B5318E">
        <w:trPr>
          <w:trHeight w:val="141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0400079500</w:t>
            </w:r>
          </w:p>
        </w:tc>
        <w:tc>
          <w:tcPr>
            <w:tcW w:w="40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'Реализация мероприятий по муниципальной подпрограмме "Профилактика и предупреждение употребления наркотических средств, алкоголизма, пьянства, </w:t>
            </w:r>
            <w:proofErr w:type="spellStart"/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табакакурения</w:t>
            </w:r>
            <w:proofErr w:type="spellEnd"/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 в муниципальном районе "Чернышевский район"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  26,00  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  26,00   </w:t>
            </w:r>
          </w:p>
        </w:tc>
      </w:tr>
      <w:tr w:rsidR="00B5318E" w:rsidRPr="00B5318E" w:rsidTr="00B5318E">
        <w:trPr>
          <w:trHeight w:val="127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0500079500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'Реализация мероприятий по муниципальной подпрограмме "Профилактика терроризма и экстремизма на территории муниципального района "Чернышевский район" на 2021-2025 годы"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  26,00  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  26,00   </w:t>
            </w:r>
          </w:p>
        </w:tc>
      </w:tr>
      <w:tr w:rsidR="00B5318E" w:rsidRPr="00B5318E" w:rsidTr="00B5318E">
        <w:trPr>
          <w:trHeight w:val="12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0600079500</w:t>
            </w:r>
          </w:p>
        </w:tc>
        <w:tc>
          <w:tcPr>
            <w:tcW w:w="40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'Реализация мероприятий по муниципальной подпрограмме "Профилактика правонарушений на территории муниципального района "Чернышевский район" на 2021-2025 годы"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  35,00  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  35,00   </w:t>
            </w:r>
          </w:p>
        </w:tc>
      </w:tr>
      <w:tr w:rsidR="00B5318E" w:rsidRPr="00B5318E" w:rsidTr="00B5318E">
        <w:trPr>
          <w:trHeight w:val="15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0700079500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'Реализация мероприятий по муниципальной подпрограмме "Территориальное планирование и обеспечение градостроительной деятельности на территории муниципального района "Чернышевский район" на 2021-2025 годы"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450,00  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450,00   </w:t>
            </w:r>
          </w:p>
        </w:tc>
      </w:tr>
      <w:tr w:rsidR="00B5318E" w:rsidRPr="00B5318E" w:rsidTr="00B5318E">
        <w:trPr>
          <w:trHeight w:val="136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1700079500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'Реализация мероприятий по муниципальной программе "Укрепление общественного здоровья на территории муниципального района "Чернышевский район" на 2021-2025 годы"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  10,00  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  10,00   </w:t>
            </w:r>
          </w:p>
        </w:tc>
      </w:tr>
      <w:tr w:rsidR="00B5318E" w:rsidRPr="00B5318E" w:rsidTr="00B5318E">
        <w:trPr>
          <w:trHeight w:val="136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1300079500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'Реализация мероприятий по муниципальной программе Комплексное развитие сельских территорий на территории муниципального района "Чернышевский район" на 2021-2025 годы"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204,30  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       -     </w:t>
            </w:r>
          </w:p>
        </w:tc>
      </w:tr>
      <w:tr w:rsidR="00B5318E" w:rsidRPr="00B5318E" w:rsidTr="00B5318E">
        <w:trPr>
          <w:trHeight w:val="838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0405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00000L5760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Субсидия на обеспечение комплексного развития сельских территорий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636,50  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600,00   </w:t>
            </w:r>
          </w:p>
        </w:tc>
      </w:tr>
      <w:tr w:rsidR="00B5318E" w:rsidRPr="00B5318E" w:rsidTr="00B5318E">
        <w:trPr>
          <w:trHeight w:val="136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00000S4905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Реализация подпрограммы Забайкальского края "Модернизация объектов коммунальной инфраструктуры" (мероприятия по подготовке к осенне-зимнему периоду)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  26,30  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  26,30   </w:t>
            </w:r>
          </w:p>
        </w:tc>
      </w:tr>
      <w:tr w:rsidR="00B5318E" w:rsidRPr="00B5318E" w:rsidTr="00B5318E">
        <w:trPr>
          <w:trHeight w:val="168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1110079500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Реализация мероприятий муниципальной подпрограммы "Повышение качества и доступности дошкольного образования" муниципальной программы "Развитие образования в "Чернышевском районе" на 2021-2025 годы"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22 700,80  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22 700,80   </w:t>
            </w:r>
          </w:p>
        </w:tc>
      </w:tr>
      <w:tr w:rsidR="00B5318E" w:rsidRPr="00B5318E" w:rsidTr="00B5318E">
        <w:trPr>
          <w:trHeight w:val="103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000P25232F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Реализация мероприятия</w:t>
            </w:r>
            <w:proofErr w:type="gramStart"/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"С</w:t>
            </w:r>
            <w:proofErr w:type="gramEnd"/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оздание дополнительных мест для детей в возрасте от 1,5 до трех лет в образовательных </w:t>
            </w:r>
            <w:proofErr w:type="spellStart"/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организациях.реализующих</w:t>
            </w:r>
            <w:proofErr w:type="spellEnd"/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программы дошкольного образования" государственной программы Забайкальского края "Развитие образования Забайкальского края  на 2014-2025 годы"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236,80  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235,80   </w:t>
            </w:r>
          </w:p>
        </w:tc>
      </w:tr>
      <w:tr w:rsidR="00B5318E" w:rsidRPr="00B5318E" w:rsidTr="00B5318E">
        <w:trPr>
          <w:trHeight w:val="103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000P2S1443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Создание дополнительных мест для детей в возрасте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144,20  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137,10   </w:t>
            </w:r>
          </w:p>
        </w:tc>
      </w:tr>
      <w:tr w:rsidR="00B5318E" w:rsidRPr="00B5318E" w:rsidTr="00B5318E">
        <w:trPr>
          <w:trHeight w:val="145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0900079500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Реализация мероприятий по муниципальной программе "Энергосбережение и повышение энергетической эффективности в муниципальном районе "Чернышевский район" на 2021-2025 годы"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427,00  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409,20   </w:t>
            </w:r>
          </w:p>
        </w:tc>
      </w:tr>
      <w:tr w:rsidR="00B5318E" w:rsidRPr="00B5318E" w:rsidTr="00B5318E">
        <w:trPr>
          <w:trHeight w:val="103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1120079500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Реализация мероприятий муниципальной подпрограммы "Повышение качества и доступности общего образования" муниципальной программы "Развитие образования в Чернышевском районе на 2021-2025 годы"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7 714,70  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7 697,10   </w:t>
            </w:r>
          </w:p>
        </w:tc>
      </w:tr>
      <w:tr w:rsidR="00B5318E" w:rsidRPr="00B5318E" w:rsidTr="00B5318E">
        <w:trPr>
          <w:trHeight w:val="162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1240079519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Реализация мероприятий по муниципальной подпрограмме Развитие дополнительного образования детей в сфере культуры" муниципальной программы "Развитие культуры  и спорта" в муниципальном районе "Чернышевский район" на 2021-2025 годы"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  30,00  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  30,00   </w:t>
            </w:r>
          </w:p>
        </w:tc>
      </w:tr>
      <w:tr w:rsidR="00B5318E" w:rsidRPr="00B5318E" w:rsidTr="00B5318E">
        <w:trPr>
          <w:trHeight w:val="472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1210079500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подпрограммы "Обеспечение сохранности </w:t>
            </w: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историко-культурного наследия, традиционной народной культуры" муниципальной программы "Развитие культуры и спорта в "Чернышевском районе"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               100,00  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100,00   </w:t>
            </w:r>
          </w:p>
        </w:tc>
      </w:tr>
      <w:tr w:rsidR="00B5318E" w:rsidRPr="00B5318E" w:rsidTr="00B5318E">
        <w:trPr>
          <w:trHeight w:val="130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0801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1230079500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Реализация мероприятий муниципальной подпрограммы "Сохранение и развитие библиотечных учреждений" муниципальной программы "Развитие культуры и спорта в "Чернышевском районе"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642,10  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642,10   </w:t>
            </w:r>
          </w:p>
        </w:tc>
      </w:tr>
      <w:tr w:rsidR="00B5318E" w:rsidRPr="00B5318E" w:rsidTr="00B5318E">
        <w:trPr>
          <w:trHeight w:val="83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000А155900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Реализация мероприятий по техническому оснащению музеев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    7,20  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    7,20   </w:t>
            </w:r>
          </w:p>
        </w:tc>
      </w:tr>
      <w:tr w:rsidR="00B5318E" w:rsidRPr="00B5318E" w:rsidTr="00B5318E">
        <w:trPr>
          <w:trHeight w:val="103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1140079500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подпрограммы "Содействие занятости населения" муниципальной программы "Развитие образования в </w:t>
            </w:r>
            <w:proofErr w:type="spellStart"/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Чернышевскомрайоне</w:t>
            </w:r>
            <w:proofErr w:type="spellEnd"/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на 2021-2025 годы"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200,00  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200,00   </w:t>
            </w:r>
          </w:p>
        </w:tc>
      </w:tr>
      <w:tr w:rsidR="00B5318E" w:rsidRPr="00B5318E" w:rsidTr="00B5318E">
        <w:trPr>
          <w:trHeight w:val="14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00000L4970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Реализация мероприятий подпрограммы "Обеспечение жильем молодых семей" государственной программы Забайкальского края "Развитие территорий и жилищная политика Забайкальского края"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523,40  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   523,40   </w:t>
            </w:r>
          </w:p>
        </w:tc>
      </w:tr>
      <w:tr w:rsidR="00B5318E" w:rsidRPr="00B5318E" w:rsidTr="00B5318E">
        <w:trPr>
          <w:trHeight w:val="125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1500079500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Реализация мероприятий муниципальной программы "Доступная среда" муниципального района "Чернышевский район" на 2021-2025 годы.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1 600,00  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          1 600,00   </w:t>
            </w:r>
          </w:p>
        </w:tc>
      </w:tr>
      <w:tr w:rsidR="00B5318E" w:rsidRPr="00B5318E" w:rsidTr="00B5318E">
        <w:trPr>
          <w:trHeight w:val="390"/>
        </w:trPr>
        <w:tc>
          <w:tcPr>
            <w:tcW w:w="7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       144 703,80  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18E" w:rsidRPr="00B5318E" w:rsidRDefault="00B5318E" w:rsidP="00B5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1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       143 605,20   </w:t>
            </w:r>
          </w:p>
        </w:tc>
      </w:tr>
    </w:tbl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 АНАЛИЗ ПОКАЗАТЕЛЕЙ ФИНАНСОВОЙ ДЕЯТЕЛЬНОСТИ.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Сведения об исполнении судебных решений по денежным обязательствам бюджета (0503296)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2022г. поступило денежных обязательств на сумму 417,9 тыс. 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руб.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,в</w:t>
      </w:r>
      <w:proofErr w:type="spellEnd"/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том числе погашено 417,9 тыс.руб. Непогашенные исполнительные листы на 01.01.2023г. отсутствуют. Следует отметить, что на протяжении 2022года не было блокировки счетов,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 как задолженность по исполнительным листам в первоочередном порядке включается в кассовый план и оплачивается своевременно.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</w:t>
      </w:r>
      <w:r w:rsidRPr="00B5318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                              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Сведения о движении нефинансовых активов (Ф.0503168)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2022 году поступ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 имущество, а также материальные запасы от бюджетов других  уровней,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 том числе: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- 193,1 тыс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уб. - поступление материальных запасов от Министерства образования и молодежной политики Забайкальского края ;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- 2 124,8 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уголь  от Министерства ЖКХ Забайкальского края. 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- 26 459,9 тыс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уб. движимое имущество в т.ч. амортизация 952,9 тыс.руб. от Департамента по имуществу.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-138,7  тыс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уб. материальные запасы и талоны на ГСМ от Департамента ГО и ПБ Забайкальского края.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-667,5 тыс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уб.-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пожарные 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извещатели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ГАУСО "Социальный приют".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   </w:t>
      </w:r>
      <w:r w:rsidRPr="00B5318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  Сведения по дебиторской и кредиторской задолженности (Ф.0503169)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   Кредиторская задолженность по органам местного самоуправления муниципального района Чернышевский район на 01.01.2023 года составила    994,7 тыс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уб., в том числе просроченная  0,00.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  Общее снижение кредиторской задолженности по сравнению с аналогичным периодом прошлого года составило 378,1 тыс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уб. Кредиторская задолженность по заработной плате и начислениям на фонд оплаты труда в сумме 744,9 тыс.руб. будет погашена с соблюдением сроков выплаты заработной платы и оплаты страховых взносов в соответствующие фонды.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    Кроме того, в бухгалтерском учете Администрации МР "Чернышевский район" числится дебиторская задолженность в сумме 3154,3 тыс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уб.(должник ООО "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Стройавтодилер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 Данная задолженность включена судебным решением в конкурсную массу.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5318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 Сведения о финансовых вложениях получателя бюджетных средств (Ф.0503171)</w:t>
      </w:r>
    </w:p>
    <w:p w:rsidR="00B5318E" w:rsidRPr="00B5318E" w:rsidRDefault="00B5318E" w:rsidP="00B5318E">
      <w:pPr>
        <w:autoSpaceDE w:val="0"/>
        <w:autoSpaceDN w:val="0"/>
        <w:adjustRightInd w:val="0"/>
        <w:spacing w:before="240" w:after="240" w:line="240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    В данной форме отражены показатели по счету 1 204 33 000 «Участие в государственных (муниципальных) учреждениях», сформированные на 01.01.2023г. в сумме  967 604,7 тыс. рублей и отраженные в бюджетной отчетности (в Балансе ф. 0503130). По сравнению с аналогичным периодом прошлого года увеличение составило 191 584,6 тыс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уб., (в том числе введение в эксплуатацию построенных в 2022 г. детских садов на сумму 125 838,1 тыс.руб.)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Сведения о государственном (муниципальном) долге (Ф.0503172)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 Гашение основного долга муниципальным районом по ранее привлеченным кредитам из краевого бюджета в 2022г. составило 1200,0 тыс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уб. 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 По состоянию на 01.01.2023 г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.д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олговые обязательства муниципального района перед бюджетом Забайкальского края составляют 13 419,4 тыс.руб. Кроме того, в 2022г. было заключено соглашение с Министерством финансов Забайкальского края о реструктуризации основного долга со сроком оплаты до 2029г. 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5318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Сведения об изменении остатков валюты баланса (Ф 0503173)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    Валюта баланса на 01.01.2023г. изменилась на сумму 241,5 тыс. руб. в связи с изменением входящих остатков по кредиторской задолженности по налогу на имущество, транспортному и земельному налогу.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Сведения об остатках денежных средств на счетах получателя бюджетных средств (Ф.0503178)</w:t>
      </w:r>
    </w:p>
    <w:p w:rsidR="00B5318E" w:rsidRPr="00B5318E" w:rsidRDefault="00B5318E" w:rsidP="00B5318E">
      <w:pPr>
        <w:autoSpaceDE w:val="0"/>
        <w:autoSpaceDN w:val="0"/>
        <w:adjustRightInd w:val="0"/>
        <w:spacing w:before="240" w:after="240" w:line="240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   Остаток средств на 01.01.2023г. составил 13 069,7 тыс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уб., в том числе  акцизы 8 874,6 тыс.руб., 4 195,0тыс. руб.-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налоговые и неналоговые доходы( будут направлены в 2023г. на оплату первоочередных расходов);</w:t>
      </w:r>
    </w:p>
    <w:p w:rsidR="00B5318E" w:rsidRPr="00B5318E" w:rsidRDefault="00B5318E" w:rsidP="00B5318E">
      <w:pPr>
        <w:autoSpaceDE w:val="0"/>
        <w:autoSpaceDN w:val="0"/>
        <w:adjustRightInd w:val="0"/>
        <w:spacing w:before="240" w:after="240" w:line="240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ПРОЧИЕ ВОПРОСЫ ДЕЯТЕЛЬНОСТИ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5318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Сведения об особенности ведения бюджетного учета 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      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 района при ведении бюджетного учета руководствовались Единым планом счетов бухгалтерского учета для государственных органов власти,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Инструкцией по его применению, утвержденных приказом Минфина России от 01.12.2010 за № 157н с учетом положений Инструкции за № 162н от 06.12.2010.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Первичные учетные документы и регистры бухгалтерского учета применяются в соответствии с Методическими указаниями по применению форм первичных учетных документов и формированию регистров бухгалтерского учета, утвержденными приказом Минфина России от 30.03.2015года №52н. При составлении бюджетной классификации применяем в работе Приказ Минфина России № 65Н от 01.07.2013 «Об утверждении Указаний о порядке применения бюджетной классификации Российской Федерации». Для ведения бюджетного учета используются программные комплексы «1С Бухгалтерия», «Бюджет 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Смарт</w:t>
      </w:r>
      <w:proofErr w:type="spellEnd"/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ро». 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составлении месячной и годовой отчетности об исполнении бюджета применяем</w:t>
      </w: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hyperlink r:id="rId4" w:history="1">
        <w:r w:rsidRPr="00B5318E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Приказ Минфина РФ от 28 декабря 2010 г.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  </w:r>
      </w:hyperlink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 Минфина РФ от 25 марта 2011 г. N 33н "Об утверждении Инструкции о порядке составления, представления годовой, квартальной бухгалтерской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отчетности государственных (муниципальных) бюджетных и автономных учреждений" </w:t>
      </w: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При составлении оперативных отчетов по мониторингам используется ПК "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Свод-Смарт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". Работа с казначейством осуществляется через ПК «СУФД».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Сведения о результатах мероприятий внутреннего контроля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 соответствии  с Положением о Комитете по финансам администрации муниципального района «Чернышевский район» (далее - Комитет по финансам), утвержденным Решением Совета  муниципального района «Чернышевский район» от 13.10.2017г. № 84, Комитет по финансам  осуществляет полномочия по внутреннему муниципальному финансовому контролю.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        Внутренний муниципальный финансовый контроль осуществляется Комитетом по финансам в соответствии с Федеральными стандартами, утвержденными нормативными правовыми актами Правительства РФ.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Штатная численность  Комитета по финансам – 23 человека, полномочия по внутреннему  муниципальному финансовому контролю осуществляют 2 человека.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Расходы бюджетных средств, затраченных на содержание органа контроля (2 ед.) в 2022г. составили  - 1003,9 т. руб.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осуществления полномочий, Комитетом по финансам обеспечивается контроль в финансово-бюджетной сфере и в сфере закупок, а именно: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сфере бюджетных правоотношений во исполнение статьи 269.2 Бюджетного Кодекса РФ, в целях соблюдения бюджетного законодательства РФ и иных нормативных правовых актов, регулирующих бюджетные правоотношения (далее - контроль в сфере бюджетных правоотношений);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сфере закупок во исполнение части 8 статьи 99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нужд», в целях законности составления и исполнения бюджетов бюджетной системы РФ в отношении расходов, связанных с осуществлением закупок, достоверности учета таких  расходов и отчетности в соответствии с Законом №44-ФЗ, Бюджетным Кодексом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(далее - финансовый контроль в сфере закупок);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сфере закупок во исполнение пункта 3 части 3 ст. 99 Закона №44-ФЗ, в целях соблюдения заказчиками, уполномоченным органом, контрактными службами, контрактными управляющими законодательства РФ нормативных правовых актов и муниципальных правовых актов о контрактной системе в сфере закупок товаров, работ, услуг для обеспечения муниципальных нужд (далее - финансовый контроль в сфере закупок).</w:t>
      </w:r>
      <w:proofErr w:type="gramEnd"/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 с планом контрольных мероприятий, в 2022 году проведено 11 контрольных мероприятий: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- 5 плановых проверок в сфере бюджетных правоотношений;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- 6 плановых проверок в сфере закупок.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того, проведено 3 внеплановых контрольных мероприятия в сфере бюджетных правоотношений.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    В 2022 году, экспертизы, необходимые для проведения контрольных мероприятий не проводились, независимые эксперты (специализированные экспертные организации) не привлекались. 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 По результатам 3 внеплановых проверок материалы контрольных мероприятий направлены в органы прокуратуры.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 Оснований для подачи исковых заявлений в суды о возмещении объектом контроля ущерба, причиненного муниципальному образованию, о признании осуществленных закупок товаров, работ, услуг для обеспечения муниципальных нужд недействительными в отчетном году установлено не было.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 Оснований для направления уведомлений о применении бюджетных мер принуждения в отчетном году установлено не было.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      Жалобы и исковые заявления на решения органа контроля, а также жалобы на действия (бездействие) должностных лиц органа контроля при осуществлении ими полномочий по внутреннему муниципальному финансовому контролю не поступали.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 Результаты внутреннего муниципального финансового контроля: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1.1  Контроль в сфере бюджетных правоотношений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Проведено 5 плановых проверок  финансово-хозяйственной деятельности: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- Муниципальное образовательное учреждение средняя общеобразовательная школа № 2 п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.Ч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ернышевск; 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- Муниципальное дошкольное образовательное учреждение детский сад № 63 п. Чернышевск; 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- Муниципальное образовательное учреждение средняя общеобразовательная школа № 63 п. Чернышевск; 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- Муниципальное учреждение культуры 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межпоселенческий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культурно-досуговый центр «Овация» (капитальный ремонт здания филиала-дома культуры с. 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Урюм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-  Администрация сельского поселения  с. Урюмское.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Проведено 3 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внеплановых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проверки  финансово-хозяйственной деятельности: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- Муниципальное учреждение культуры 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межпоселенческий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культурно-досуговый центр «Овация» - 2 проверки;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- Муниципальное бюджетное учреждение «Физкультурно-оздоровительный комплекс «Багульник».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Объем проверенных средств за 2022г. оставил 272 035,9 т. руб.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По результатам контрольной деятельности в отчетном году выявлено 69 нарушений на общую сумму 8 784,1 т. руб., что составляет 3,2 %  объема проверенных средств.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В целях устранения выявленных нарушений и обеспечения правомерного и эффективного расходования бюджетных средств объектам контроля по итогам проверок выдано 6  представлений.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1.2 Контроль в сфере закупок.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 В рамках контроля в сфере закупок  проведено 6 плановых проверки по соблюдению требований законодательства о контрактной системе в сфере закупок: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Муниципальное образовательное учреждение средняя общеобразовательная школа № 2 п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.Ч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ернышевск; 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- Муниципальное дошкольное образовательное учреждение детский сад № 63 п. Чернышевск; 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- Муниципальное образовательное учреждение средняя общеобразовательная школа № 63 п. Чернышевск; 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- Муниципальное учреждение культуры 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межпоселенческий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культурно-досуговый центр «Овация» (капитальный ремонт здания филиала-дома культуры с. 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Урюм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-  Администрация сельского поселения  с. Урюмское.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 - Муниципальное дошкольное образовательное учреждение детский сад «Черёмушки» </w:t>
      </w:r>
      <w:proofErr w:type="spell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.М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ильгидун</w:t>
      </w:r>
      <w:proofErr w:type="spell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Объем проверенных средств по заключенным контрактам и договорам составил  70 310,0 т. руб.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    По результатам контрольной деятельности в отчетном году выявлено 6 нарушений на общую сумму 4 432,5 тыс. руб., что составляет 6,3 % объема проверенных средств.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Анализ выявленных нарушений показал, что большую часть  нарушений составляют 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такие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как: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- нарушения </w:t>
      </w:r>
      <w:proofErr w:type="gramStart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proofErr w:type="gramEnd"/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3 ст. 103 Закона №44-ФЗ, выразившиеся  в несвоевременном направлении в реестр контрактов информации об исполнении контракта и документов о приемке товаров, работ, услуг;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ненадлежащее оформление документов о приемке товаров, работ, услуг (отсутствие подписи заказчика в документах о приемке,  нарушение сроков оплаты товаров, работ, услуг).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По результатам проведенных контрольных мероприятий выдано 1 предписание об устранении нарушений законодательства о контрактной системе в сфере осуществления закупок товаров, работ, услуг.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По результатам 2 контрольных мероприятий материалы проверки направлены в Министерство финансов Забайкальского края, уполномоченное на рассмотрение дел, а также составление протоколов об административных правонарушениях в сфере закупок. В результате вынесено Постановление о назначении административного наказания в виде штрафа в сумме 20,0 тыс. руб.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В целях обеспечения прозрачности и доступности информации о проведенных контрольных мероприятиях, результаты плановых проверок  в сфере закупок размещены на официальном сайте Единой информационной системы (</w:t>
      </w:r>
      <w:hyperlink r:id="rId5" w:history="1">
        <w:r w:rsidRPr="00B5318E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http://zakupki.gov.ru</w:t>
        </w:r>
      </w:hyperlink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</w:p>
    <w:p w:rsidR="00B5318E" w:rsidRPr="00B5318E" w:rsidRDefault="00B5318E" w:rsidP="00B531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03D32" w:rsidRPr="00B5318E" w:rsidRDefault="00203D32">
      <w:pPr>
        <w:rPr>
          <w:rFonts w:ascii="Times New Roman" w:hAnsi="Times New Roman"/>
          <w:sz w:val="28"/>
          <w:szCs w:val="28"/>
        </w:rPr>
      </w:pPr>
    </w:p>
    <w:sectPr w:rsidR="00203D32" w:rsidRPr="00B5318E" w:rsidSect="00B5318E">
      <w:pgSz w:w="12240" w:h="15840"/>
      <w:pgMar w:top="567" w:right="567" w:bottom="567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318E"/>
    <w:rsid w:val="00203D32"/>
    <w:rsid w:val="00876217"/>
    <w:rsid w:val="00B5318E"/>
    <w:rsid w:val="00D210E4"/>
    <w:rsid w:val="00F2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upki.gov.ru" TargetMode="External"/><Relationship Id="rId4" Type="http://schemas.openxmlformats.org/officeDocument/2006/relationships/hyperlink" Target="http://ivo.garant.ru/document?id=1208173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9072</Words>
  <Characters>51711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60662</CharactersWithSpaces>
  <SharedDoc>false</SharedDoc>
  <HLinks>
    <vt:vector size="12" baseType="variant">
      <vt:variant>
        <vt:i4>7274604</vt:i4>
      </vt:variant>
      <vt:variant>
        <vt:i4>3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4128825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http://ivo.garant.ru/document?id=12081732&amp;sub=0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cp:lastPrinted>2023-04-29T02:54:00Z</cp:lastPrinted>
  <dcterms:created xsi:type="dcterms:W3CDTF">2023-05-26T02:46:00Z</dcterms:created>
  <dcterms:modified xsi:type="dcterms:W3CDTF">2023-05-26T02:46:00Z</dcterms:modified>
</cp:coreProperties>
</file>