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0D19E4" w:rsidP="00430FFD">
      <w:pPr>
        <w:rPr>
          <w:sz w:val="28"/>
          <w:szCs w:val="28"/>
        </w:rPr>
      </w:pPr>
      <w:r>
        <w:rPr>
          <w:sz w:val="28"/>
          <w:szCs w:val="28"/>
        </w:rPr>
        <w:t xml:space="preserve">27 сентября </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112</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0D19E4">
      <w:pPr>
        <w:jc w:val="center"/>
        <w:rPr>
          <w:sz w:val="28"/>
          <w:szCs w:val="28"/>
        </w:rPr>
      </w:pPr>
    </w:p>
    <w:p w:rsidR="000D19E4" w:rsidRPr="00610B1E" w:rsidRDefault="000D19E4" w:rsidP="000D19E4">
      <w:pPr>
        <w:ind w:firstLine="708"/>
        <w:jc w:val="center"/>
        <w:rPr>
          <w:b/>
          <w:sz w:val="28"/>
          <w:szCs w:val="28"/>
        </w:rPr>
      </w:pPr>
      <w:r w:rsidRPr="006272DA">
        <w:rPr>
          <w:b/>
          <w:sz w:val="28"/>
          <w:szCs w:val="28"/>
        </w:rPr>
        <w:t>О согласии на частичную замену дотации  на выравнивание бюджетной  обеспеченности  муниципального района «Чер</w:t>
      </w:r>
      <w:r>
        <w:rPr>
          <w:b/>
          <w:sz w:val="28"/>
          <w:szCs w:val="28"/>
        </w:rPr>
        <w:t>нышевский район» дополнительным</w:t>
      </w:r>
      <w:r w:rsidRPr="006272DA">
        <w:rPr>
          <w:b/>
          <w:sz w:val="28"/>
          <w:szCs w:val="28"/>
        </w:rPr>
        <w:t xml:space="preserve"> нормативом отчислений в бюджет муниципального района</w:t>
      </w:r>
      <w:r w:rsidR="009A2659">
        <w:rPr>
          <w:b/>
          <w:sz w:val="28"/>
          <w:szCs w:val="28"/>
        </w:rPr>
        <w:t xml:space="preserve"> «Чернышевский район» </w:t>
      </w:r>
      <w:r w:rsidRPr="006272DA">
        <w:rPr>
          <w:b/>
          <w:sz w:val="28"/>
          <w:szCs w:val="28"/>
        </w:rPr>
        <w:t xml:space="preserve"> от налога на доходы физических лиц</w:t>
      </w:r>
      <w:r>
        <w:rPr>
          <w:b/>
          <w:sz w:val="28"/>
          <w:szCs w:val="28"/>
        </w:rPr>
        <w:t xml:space="preserve"> на 2024 год и плановый период 2025-2026 годы.</w:t>
      </w:r>
    </w:p>
    <w:p w:rsidR="000D19E4" w:rsidRDefault="000D19E4" w:rsidP="000D19E4">
      <w:pPr>
        <w:ind w:firstLine="709"/>
        <w:jc w:val="both"/>
        <w:rPr>
          <w:sz w:val="28"/>
          <w:szCs w:val="28"/>
        </w:rPr>
      </w:pPr>
      <w:r>
        <w:rPr>
          <w:sz w:val="28"/>
          <w:szCs w:val="28"/>
        </w:rPr>
        <w:t xml:space="preserve"> </w:t>
      </w:r>
    </w:p>
    <w:p w:rsidR="000D19E4" w:rsidRDefault="000D19E4" w:rsidP="000D19E4">
      <w:pPr>
        <w:ind w:firstLine="709"/>
        <w:jc w:val="both"/>
        <w:rPr>
          <w:sz w:val="28"/>
          <w:szCs w:val="28"/>
        </w:rPr>
      </w:pPr>
      <w:r>
        <w:rPr>
          <w:sz w:val="28"/>
          <w:szCs w:val="28"/>
        </w:rPr>
        <w:t xml:space="preserve">В соответствии со статьей 138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r w:rsidRPr="00050F69">
        <w:rPr>
          <w:b/>
          <w:sz w:val="28"/>
          <w:szCs w:val="28"/>
        </w:rPr>
        <w:t>решил</w:t>
      </w:r>
      <w:r>
        <w:rPr>
          <w:sz w:val="28"/>
          <w:szCs w:val="28"/>
        </w:rPr>
        <w:t>:</w:t>
      </w:r>
    </w:p>
    <w:p w:rsidR="000D19E4" w:rsidRDefault="000D19E4" w:rsidP="000D19E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41285F">
        <w:rPr>
          <w:rFonts w:ascii="Times New Roman" w:hAnsi="Times New Roman"/>
          <w:sz w:val="28"/>
          <w:szCs w:val="28"/>
        </w:rPr>
        <w:t>Дать согласие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 на 20</w:t>
      </w:r>
      <w:r>
        <w:rPr>
          <w:rFonts w:ascii="Times New Roman" w:hAnsi="Times New Roman"/>
          <w:sz w:val="28"/>
          <w:szCs w:val="28"/>
        </w:rPr>
        <w:t>24 год и плановый период 2025</w:t>
      </w:r>
      <w:r w:rsidRPr="0041285F">
        <w:rPr>
          <w:rFonts w:ascii="Times New Roman" w:hAnsi="Times New Roman"/>
          <w:sz w:val="28"/>
          <w:szCs w:val="28"/>
        </w:rPr>
        <w:t>-20</w:t>
      </w:r>
      <w:r>
        <w:rPr>
          <w:rFonts w:ascii="Times New Roman" w:hAnsi="Times New Roman"/>
          <w:sz w:val="28"/>
          <w:szCs w:val="28"/>
        </w:rPr>
        <w:t>26</w:t>
      </w:r>
      <w:r w:rsidRPr="0041285F">
        <w:rPr>
          <w:rFonts w:ascii="Times New Roman" w:hAnsi="Times New Roman"/>
          <w:sz w:val="28"/>
          <w:szCs w:val="28"/>
        </w:rPr>
        <w:t xml:space="preserve"> годы.</w:t>
      </w:r>
    </w:p>
    <w:p w:rsidR="000D19E4" w:rsidRDefault="000D19E4" w:rsidP="000D19E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2. Настоящее решение Совета муниципального района «Чернышевский район» вступает в силу после его официального опубликования.</w:t>
      </w:r>
    </w:p>
    <w:p w:rsidR="000D19E4" w:rsidRDefault="000D19E4" w:rsidP="000D19E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Настоящее решение опубликовать в газете «Наше время» и разместить на официальном сайте </w:t>
      </w:r>
      <w:r w:rsidRPr="0015742F">
        <w:rPr>
          <w:rFonts w:ascii="Times New Roman" w:hAnsi="Times New Roman"/>
          <w:sz w:val="28"/>
          <w:szCs w:val="28"/>
          <w:lang w:val="en-US"/>
        </w:rPr>
        <w:t>www</w:t>
      </w:r>
      <w:r w:rsidRPr="0015742F">
        <w:rPr>
          <w:rFonts w:ascii="Times New Roman" w:hAnsi="Times New Roman"/>
          <w:sz w:val="28"/>
          <w:szCs w:val="28"/>
        </w:rPr>
        <w:t>.</w:t>
      </w:r>
      <w:proofErr w:type="spellStart"/>
      <w:r w:rsidRPr="0015742F">
        <w:rPr>
          <w:rFonts w:ascii="Times New Roman" w:hAnsi="Times New Roman"/>
          <w:sz w:val="28"/>
          <w:szCs w:val="28"/>
          <w:lang w:val="en-US"/>
        </w:rPr>
        <w:t>chernishev</w:t>
      </w:r>
      <w:proofErr w:type="spellEnd"/>
      <w:r>
        <w:rPr>
          <w:rFonts w:ascii="Times New Roman" w:hAnsi="Times New Roman"/>
          <w:sz w:val="28"/>
          <w:szCs w:val="28"/>
        </w:rPr>
        <w:t>.75.</w:t>
      </w:r>
      <w:proofErr w:type="spellStart"/>
      <w:r>
        <w:rPr>
          <w:rFonts w:ascii="Times New Roman" w:hAnsi="Times New Roman"/>
          <w:sz w:val="28"/>
          <w:szCs w:val="28"/>
          <w:lang w:val="en-US"/>
        </w:rPr>
        <w:t>ru</w:t>
      </w:r>
      <w:proofErr w:type="spellEnd"/>
      <w:r>
        <w:rPr>
          <w:rFonts w:ascii="Times New Roman" w:hAnsi="Times New Roman"/>
          <w:sz w:val="28"/>
          <w:szCs w:val="28"/>
        </w:rPr>
        <w:t>,</w:t>
      </w:r>
      <w:r w:rsidRPr="007F3242">
        <w:rPr>
          <w:rFonts w:ascii="Times New Roman" w:hAnsi="Times New Roman"/>
          <w:sz w:val="28"/>
          <w:szCs w:val="28"/>
        </w:rPr>
        <w:t xml:space="preserve">  </w:t>
      </w:r>
      <w:r>
        <w:rPr>
          <w:rFonts w:ascii="Times New Roman" w:hAnsi="Times New Roman"/>
          <w:sz w:val="28"/>
          <w:szCs w:val="28"/>
        </w:rPr>
        <w:t>в разделе Документы</w:t>
      </w:r>
      <w:r w:rsidRPr="00BA1551">
        <w:rPr>
          <w:rFonts w:ascii="Times New Roman" w:hAnsi="Times New Roman"/>
          <w:sz w:val="28"/>
          <w:szCs w:val="28"/>
        </w:rPr>
        <w:t>.</w:t>
      </w:r>
    </w:p>
    <w:p w:rsidR="000D19E4" w:rsidRPr="009B24BD" w:rsidRDefault="000D19E4" w:rsidP="000D19E4">
      <w:pPr>
        <w:pStyle w:val="a4"/>
        <w:spacing w:after="0" w:line="240" w:lineRule="auto"/>
        <w:ind w:left="0" w:firstLine="709"/>
        <w:jc w:val="both"/>
        <w:rPr>
          <w:rFonts w:ascii="Times New Roman" w:hAnsi="Times New Roman"/>
          <w:sz w:val="28"/>
          <w:szCs w:val="28"/>
        </w:rPr>
      </w:pPr>
    </w:p>
    <w:p w:rsidR="000D19E4" w:rsidRDefault="000D19E4" w:rsidP="000D19E4">
      <w:pPr>
        <w:ind w:firstLine="709"/>
        <w:jc w:val="both"/>
        <w:rPr>
          <w:sz w:val="28"/>
          <w:szCs w:val="28"/>
        </w:rPr>
      </w:pPr>
    </w:p>
    <w:p w:rsidR="000D19E4" w:rsidRDefault="000D19E4" w:rsidP="000D19E4">
      <w:pPr>
        <w:rPr>
          <w:sz w:val="28"/>
          <w:szCs w:val="28"/>
        </w:rPr>
      </w:pPr>
    </w:p>
    <w:p w:rsidR="000D19E4" w:rsidRDefault="000D19E4" w:rsidP="000D19E4">
      <w:pPr>
        <w:rPr>
          <w:sz w:val="28"/>
          <w:szCs w:val="28"/>
        </w:rPr>
      </w:pPr>
      <w:proofErr w:type="spellStart"/>
      <w:r>
        <w:rPr>
          <w:sz w:val="28"/>
          <w:szCs w:val="28"/>
        </w:rPr>
        <w:t>Врио</w:t>
      </w:r>
      <w:proofErr w:type="spellEnd"/>
      <w:r>
        <w:rPr>
          <w:sz w:val="28"/>
          <w:szCs w:val="28"/>
        </w:rPr>
        <w:t xml:space="preserve"> главы муниципального района</w:t>
      </w:r>
    </w:p>
    <w:p w:rsidR="000D19E4" w:rsidRDefault="000D19E4" w:rsidP="000D19E4">
      <w:pPr>
        <w:rPr>
          <w:sz w:val="28"/>
          <w:szCs w:val="28"/>
        </w:rPr>
      </w:pPr>
      <w:r>
        <w:rPr>
          <w:sz w:val="28"/>
          <w:szCs w:val="28"/>
        </w:rPr>
        <w:t>«Чернышевский район»                                                                  Л.И.Вологдина</w:t>
      </w:r>
    </w:p>
    <w:p w:rsidR="000D19E4" w:rsidRDefault="000D19E4" w:rsidP="000D19E4">
      <w:pPr>
        <w:rPr>
          <w:sz w:val="28"/>
          <w:szCs w:val="28"/>
        </w:rPr>
      </w:pPr>
    </w:p>
    <w:p w:rsidR="000D19E4" w:rsidRDefault="000D19E4" w:rsidP="000D19E4">
      <w:pPr>
        <w:rPr>
          <w:sz w:val="28"/>
          <w:szCs w:val="28"/>
        </w:rPr>
      </w:pPr>
    </w:p>
    <w:p w:rsidR="000D19E4" w:rsidRDefault="000D19E4" w:rsidP="000D19E4">
      <w:pPr>
        <w:rPr>
          <w:sz w:val="28"/>
          <w:szCs w:val="28"/>
        </w:rPr>
      </w:pPr>
      <w:r>
        <w:rPr>
          <w:sz w:val="28"/>
          <w:szCs w:val="28"/>
        </w:rPr>
        <w:t xml:space="preserve"> </w:t>
      </w:r>
    </w:p>
    <w:p w:rsidR="000D19E4" w:rsidRDefault="000D19E4" w:rsidP="000D19E4">
      <w:pPr>
        <w:rPr>
          <w:sz w:val="28"/>
          <w:szCs w:val="28"/>
        </w:rPr>
      </w:pPr>
    </w:p>
    <w:p w:rsidR="000D19E4" w:rsidRDefault="000D19E4" w:rsidP="000D19E4">
      <w:pPr>
        <w:rPr>
          <w:sz w:val="28"/>
          <w:szCs w:val="28"/>
        </w:rPr>
      </w:pPr>
    </w:p>
    <w:p w:rsidR="000D19E4" w:rsidRDefault="000D19E4" w:rsidP="000D19E4">
      <w:pPr>
        <w:rPr>
          <w:sz w:val="28"/>
          <w:szCs w:val="28"/>
        </w:rPr>
      </w:pPr>
    </w:p>
    <w:p w:rsidR="000D19E4" w:rsidRDefault="000D19E4" w:rsidP="000D19E4">
      <w:pPr>
        <w:rPr>
          <w:sz w:val="28"/>
          <w:szCs w:val="28"/>
        </w:rPr>
      </w:pPr>
    </w:p>
    <w:p w:rsidR="000D19E4" w:rsidRDefault="000D19E4" w:rsidP="000D19E4">
      <w:pPr>
        <w:rPr>
          <w:sz w:val="28"/>
          <w:szCs w:val="28"/>
        </w:rPr>
      </w:pPr>
    </w:p>
    <w:p w:rsidR="000D19E4" w:rsidRDefault="000D19E4" w:rsidP="000D19E4">
      <w:pPr>
        <w:rPr>
          <w:sz w:val="28"/>
          <w:szCs w:val="28"/>
        </w:rPr>
      </w:pPr>
    </w:p>
    <w:p w:rsidR="000D19E4" w:rsidRPr="00B67835" w:rsidRDefault="000D19E4" w:rsidP="000D19E4">
      <w:pPr>
        <w:rPr>
          <w:sz w:val="28"/>
          <w:szCs w:val="28"/>
        </w:rPr>
      </w:pPr>
    </w:p>
    <w:p w:rsidR="000D19E4" w:rsidRPr="00FE681B" w:rsidRDefault="000D19E4" w:rsidP="000D19E4">
      <w:pPr>
        <w:jc w:val="center"/>
        <w:rPr>
          <w:b/>
          <w:sz w:val="28"/>
          <w:szCs w:val="28"/>
        </w:rPr>
      </w:pPr>
      <w:r w:rsidRPr="005F0F2C">
        <w:rPr>
          <w:b/>
          <w:sz w:val="28"/>
          <w:szCs w:val="28"/>
        </w:rPr>
        <w:lastRenderedPageBreak/>
        <w:t xml:space="preserve">ПОЯСНИТЕЛЬНАЯ ЗАПИСКА К ПРОЕКТУ РЕШЕНИЯ СОВЕТА </w:t>
      </w:r>
      <w:r>
        <w:rPr>
          <w:b/>
          <w:sz w:val="28"/>
          <w:szCs w:val="28"/>
        </w:rPr>
        <w:t xml:space="preserve">МУНИЦИПАЛЬНОГО РАЙОНА </w:t>
      </w:r>
      <w:r w:rsidRPr="005F0F2C">
        <w:rPr>
          <w:b/>
          <w:sz w:val="28"/>
          <w:szCs w:val="28"/>
        </w:rPr>
        <w:t>«ЧЕРНЫШЕВСКИЙ  РАЙОН»</w:t>
      </w:r>
    </w:p>
    <w:p w:rsidR="000D19E4" w:rsidRDefault="000D19E4" w:rsidP="000D19E4">
      <w:pPr>
        <w:jc w:val="center"/>
        <w:rPr>
          <w:sz w:val="28"/>
          <w:szCs w:val="28"/>
        </w:rPr>
      </w:pPr>
      <w:r w:rsidRPr="00FE681B">
        <w:rPr>
          <w:sz w:val="28"/>
          <w:szCs w:val="28"/>
        </w:rPr>
        <w:t>«О согласии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от налога на доходы физических лиц в бюджет муниципального района «Чернышевский район» на 20</w:t>
      </w:r>
      <w:r>
        <w:rPr>
          <w:sz w:val="28"/>
          <w:szCs w:val="28"/>
        </w:rPr>
        <w:t>24 год и плановый период 2025-2026</w:t>
      </w:r>
      <w:r w:rsidRPr="00FE681B">
        <w:rPr>
          <w:sz w:val="28"/>
          <w:szCs w:val="28"/>
        </w:rPr>
        <w:t xml:space="preserve"> годы</w:t>
      </w:r>
      <w:r>
        <w:rPr>
          <w:sz w:val="28"/>
          <w:szCs w:val="28"/>
        </w:rPr>
        <w:t>»</w:t>
      </w:r>
    </w:p>
    <w:p w:rsidR="000D19E4" w:rsidRPr="00FE681B" w:rsidRDefault="000D19E4" w:rsidP="000D19E4">
      <w:pPr>
        <w:jc w:val="center"/>
        <w:rPr>
          <w:sz w:val="28"/>
          <w:szCs w:val="28"/>
        </w:rPr>
      </w:pPr>
    </w:p>
    <w:p w:rsidR="000D19E4" w:rsidRPr="00FE681B" w:rsidRDefault="000D19E4" w:rsidP="000D19E4">
      <w:pPr>
        <w:ind w:firstLine="708"/>
        <w:jc w:val="both"/>
        <w:rPr>
          <w:sz w:val="28"/>
          <w:szCs w:val="28"/>
        </w:rPr>
      </w:pPr>
      <w:r w:rsidRPr="00FE681B">
        <w:rPr>
          <w:sz w:val="28"/>
          <w:szCs w:val="28"/>
        </w:rPr>
        <w:t xml:space="preserve">Порядок и методика распределения дотаций на выравнивание бюджетной обеспеченности муниципальных районов, в том числе порядок расчета и </w:t>
      </w:r>
      <w:proofErr w:type="gramStart"/>
      <w:r w:rsidRPr="00FE681B">
        <w:rPr>
          <w:sz w:val="28"/>
          <w:szCs w:val="28"/>
        </w:rPr>
        <w:t>установления</w:t>
      </w:r>
      <w:proofErr w:type="gramEnd"/>
      <w:r w:rsidRPr="00FE681B">
        <w:rPr>
          <w:sz w:val="28"/>
          <w:szCs w:val="28"/>
        </w:rPr>
        <w:t xml:space="preserve">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утверждаются законом субъекта Российской Федерации в соответствии с требованиями Бюджетного  Кодекса.    </w:t>
      </w:r>
    </w:p>
    <w:p w:rsidR="000D19E4" w:rsidRPr="00FE681B" w:rsidRDefault="000D19E4" w:rsidP="000D19E4">
      <w:pPr>
        <w:jc w:val="both"/>
        <w:rPr>
          <w:sz w:val="28"/>
          <w:szCs w:val="28"/>
        </w:rPr>
      </w:pPr>
      <w:r w:rsidRPr="00FE681B">
        <w:rPr>
          <w:sz w:val="28"/>
          <w:szCs w:val="28"/>
        </w:rPr>
        <w:t xml:space="preserve">    </w:t>
      </w:r>
      <w:r w:rsidRPr="00FE681B">
        <w:rPr>
          <w:sz w:val="28"/>
          <w:szCs w:val="28"/>
        </w:rPr>
        <w:tab/>
        <w:t xml:space="preserve">При составлении 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могут быть полностью или частично заменены дополнительными нормативами отчислений в бюджеты муниципальных районов  от налога на доходы физических лиц. </w:t>
      </w:r>
    </w:p>
    <w:p w:rsidR="000D19E4" w:rsidRPr="00FE681B" w:rsidRDefault="000D19E4" w:rsidP="000D19E4">
      <w:pPr>
        <w:jc w:val="both"/>
        <w:rPr>
          <w:sz w:val="28"/>
          <w:szCs w:val="28"/>
        </w:rPr>
      </w:pPr>
      <w:r w:rsidRPr="00FE681B">
        <w:rPr>
          <w:sz w:val="28"/>
          <w:szCs w:val="28"/>
        </w:rPr>
        <w:t xml:space="preserve">   </w:t>
      </w:r>
      <w:r w:rsidRPr="00FE681B">
        <w:rPr>
          <w:sz w:val="28"/>
          <w:szCs w:val="28"/>
        </w:rPr>
        <w:tab/>
        <w:t>Указанный дополнительный норматив рассчитывается как отношение расчетного объема дотации  муниципальному району  к прогнозируемому в соответствии с единой методикой объему налога на доходы физических лиц.</w:t>
      </w:r>
    </w:p>
    <w:p w:rsidR="000D19E4" w:rsidRPr="00FE681B" w:rsidRDefault="000D19E4" w:rsidP="000D19E4">
      <w:pPr>
        <w:jc w:val="both"/>
        <w:rPr>
          <w:sz w:val="28"/>
          <w:szCs w:val="28"/>
        </w:rPr>
      </w:pPr>
      <w:r w:rsidRPr="00FE681B">
        <w:rPr>
          <w:sz w:val="28"/>
          <w:szCs w:val="28"/>
        </w:rPr>
        <w:t xml:space="preserve">   </w:t>
      </w:r>
      <w:r w:rsidRPr="00FE681B">
        <w:rPr>
          <w:sz w:val="28"/>
          <w:szCs w:val="28"/>
        </w:rPr>
        <w:tab/>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в течение текущего финансового года не допускается.</w:t>
      </w:r>
    </w:p>
    <w:p w:rsidR="000D19E4" w:rsidRPr="00FE681B" w:rsidRDefault="000D19E4" w:rsidP="000D19E4">
      <w:pPr>
        <w:jc w:val="both"/>
        <w:rPr>
          <w:sz w:val="28"/>
          <w:szCs w:val="28"/>
        </w:rPr>
      </w:pPr>
      <w:r w:rsidRPr="00FE681B">
        <w:rPr>
          <w:sz w:val="28"/>
          <w:szCs w:val="28"/>
        </w:rPr>
        <w:t xml:space="preserve">  </w:t>
      </w:r>
      <w:r w:rsidRPr="00FE681B">
        <w:rPr>
          <w:sz w:val="28"/>
          <w:szCs w:val="28"/>
        </w:rPr>
        <w:tab/>
        <w:t>Средства, полученные муниципальным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муниципальных районов, изъятию в бюджет субъекта Российской Федерации и учету при последующем распределении межбюджетных трансфертов местным бюджетам не подлежат.</w:t>
      </w:r>
    </w:p>
    <w:p w:rsidR="000D19E4" w:rsidRPr="00FE681B" w:rsidRDefault="000D19E4" w:rsidP="000D19E4">
      <w:pPr>
        <w:jc w:val="both"/>
        <w:rPr>
          <w:sz w:val="28"/>
          <w:szCs w:val="28"/>
        </w:rPr>
      </w:pPr>
      <w:r w:rsidRPr="00FE681B">
        <w:rPr>
          <w:sz w:val="28"/>
          <w:szCs w:val="28"/>
        </w:rPr>
        <w:t xml:space="preserve">   </w:t>
      </w:r>
      <w:r w:rsidRPr="00FE681B">
        <w:rPr>
          <w:sz w:val="28"/>
          <w:szCs w:val="28"/>
        </w:rPr>
        <w:tab/>
        <w:t xml:space="preserve">Потери бюджета муниципального района </w:t>
      </w:r>
      <w:proofErr w:type="gramStart"/>
      <w:r w:rsidRPr="00FE681B">
        <w:rPr>
          <w:sz w:val="28"/>
          <w:szCs w:val="28"/>
        </w:rPr>
        <w:t>в связи с получением средств по дополнительному нормативу отчислений от налога на доходы</w:t>
      </w:r>
      <w:proofErr w:type="gramEnd"/>
      <w:r w:rsidRPr="00FE681B">
        <w:rPr>
          <w:sz w:val="28"/>
          <w:szCs w:val="28"/>
        </w:rPr>
        <w:t xml:space="preserve"> физических лиц ниже расчетного объема дотации  на выравнивание бюджетной обеспеченности муниципальных районов компенсации из бюджета субъекта Российской Федерации и учету при последующем распределении межбюджетных трансфертов местным бюджетам не подлежат.</w:t>
      </w:r>
    </w:p>
    <w:p w:rsidR="000D19E4" w:rsidRPr="00BF2EF7" w:rsidRDefault="000D19E4" w:rsidP="000D19E4">
      <w:pPr>
        <w:ind w:firstLine="708"/>
        <w:jc w:val="both"/>
        <w:rPr>
          <w:sz w:val="28"/>
          <w:szCs w:val="28"/>
        </w:rPr>
      </w:pPr>
      <w:r w:rsidRPr="00BF2EF7">
        <w:rPr>
          <w:sz w:val="28"/>
          <w:szCs w:val="28"/>
        </w:rPr>
        <w:t>Налог на доходы физи</w:t>
      </w:r>
      <w:r>
        <w:rPr>
          <w:sz w:val="28"/>
          <w:szCs w:val="28"/>
        </w:rPr>
        <w:t xml:space="preserve">ческих лиц рассчитывается на основании статистической налоговой отчетности 5-НДФЛ за отчетный год. Также при расчете налога на доходы физических лиц  используются данные </w:t>
      </w:r>
      <w:r w:rsidRPr="00BF2EF7">
        <w:rPr>
          <w:sz w:val="28"/>
          <w:szCs w:val="28"/>
        </w:rPr>
        <w:t xml:space="preserve"> защищенного фонда оплаты труда Отделом экономики, труда и </w:t>
      </w:r>
      <w:r w:rsidRPr="00BF2EF7">
        <w:rPr>
          <w:sz w:val="28"/>
          <w:szCs w:val="28"/>
        </w:rPr>
        <w:lastRenderedPageBreak/>
        <w:t xml:space="preserve">инвестиционной политики </w:t>
      </w:r>
      <w:r>
        <w:rPr>
          <w:sz w:val="28"/>
          <w:szCs w:val="28"/>
        </w:rPr>
        <w:t xml:space="preserve">администрации муниципального района «Чернышевский район» </w:t>
      </w:r>
      <w:r w:rsidRPr="00BF2EF7">
        <w:rPr>
          <w:sz w:val="28"/>
          <w:szCs w:val="28"/>
        </w:rPr>
        <w:t>(фонд защищается после проведенного экономического анализа, где учитывается развитие муниципального района, рост или снижение зарабо</w:t>
      </w:r>
      <w:r>
        <w:rPr>
          <w:sz w:val="28"/>
          <w:szCs w:val="28"/>
        </w:rPr>
        <w:t>тной платы населения, миграция).</w:t>
      </w:r>
    </w:p>
    <w:p w:rsidR="000D19E4" w:rsidRDefault="000D19E4" w:rsidP="000D19E4">
      <w:pPr>
        <w:ind w:firstLine="708"/>
        <w:jc w:val="both"/>
        <w:rPr>
          <w:sz w:val="28"/>
          <w:szCs w:val="28"/>
        </w:rPr>
      </w:pPr>
      <w:r w:rsidRPr="00BF2EF7">
        <w:rPr>
          <w:sz w:val="28"/>
          <w:szCs w:val="28"/>
        </w:rPr>
        <w:t>По Справкам основных показателей социально- экономического развития  для обоснования бюджета на 20</w:t>
      </w:r>
      <w:r>
        <w:rPr>
          <w:sz w:val="28"/>
          <w:szCs w:val="28"/>
        </w:rPr>
        <w:t>24</w:t>
      </w:r>
      <w:r w:rsidRPr="00BF2EF7">
        <w:rPr>
          <w:sz w:val="28"/>
          <w:szCs w:val="28"/>
        </w:rPr>
        <w:t xml:space="preserve"> год и плановые периоды 20</w:t>
      </w:r>
      <w:r>
        <w:rPr>
          <w:sz w:val="28"/>
          <w:szCs w:val="28"/>
        </w:rPr>
        <w:t>25</w:t>
      </w:r>
      <w:r w:rsidRPr="00BF2EF7">
        <w:rPr>
          <w:sz w:val="28"/>
          <w:szCs w:val="28"/>
        </w:rPr>
        <w:t>-202</w:t>
      </w:r>
      <w:r>
        <w:rPr>
          <w:sz w:val="28"/>
          <w:szCs w:val="28"/>
        </w:rPr>
        <w:t>6</w:t>
      </w:r>
      <w:r w:rsidRPr="00BF2EF7">
        <w:rPr>
          <w:sz w:val="28"/>
          <w:szCs w:val="28"/>
        </w:rPr>
        <w:t xml:space="preserve"> годов </w:t>
      </w:r>
      <w:r>
        <w:rPr>
          <w:sz w:val="28"/>
          <w:szCs w:val="28"/>
        </w:rPr>
        <w:t>планируется</w:t>
      </w:r>
      <w:r w:rsidRPr="00BF2EF7">
        <w:rPr>
          <w:sz w:val="28"/>
          <w:szCs w:val="28"/>
        </w:rPr>
        <w:t xml:space="preserve"> темп роста по фонду заработной платы работников </w:t>
      </w:r>
      <w:r w:rsidRPr="0015742F">
        <w:rPr>
          <w:sz w:val="28"/>
          <w:szCs w:val="28"/>
        </w:rPr>
        <w:t>организаций (202</w:t>
      </w:r>
      <w:r>
        <w:rPr>
          <w:sz w:val="28"/>
          <w:szCs w:val="28"/>
        </w:rPr>
        <w:t>4</w:t>
      </w:r>
      <w:r w:rsidRPr="0015742F">
        <w:rPr>
          <w:sz w:val="28"/>
          <w:szCs w:val="28"/>
        </w:rPr>
        <w:t xml:space="preserve">г.- </w:t>
      </w:r>
      <w:r>
        <w:rPr>
          <w:sz w:val="28"/>
          <w:szCs w:val="28"/>
        </w:rPr>
        <w:t>9,2</w:t>
      </w:r>
      <w:r w:rsidRPr="0015742F">
        <w:rPr>
          <w:sz w:val="28"/>
          <w:szCs w:val="28"/>
        </w:rPr>
        <w:t>%, 202</w:t>
      </w:r>
      <w:r>
        <w:rPr>
          <w:sz w:val="28"/>
          <w:szCs w:val="28"/>
        </w:rPr>
        <w:t>5</w:t>
      </w:r>
      <w:r w:rsidRPr="0015742F">
        <w:rPr>
          <w:sz w:val="28"/>
          <w:szCs w:val="28"/>
        </w:rPr>
        <w:t xml:space="preserve">г.- </w:t>
      </w:r>
      <w:r>
        <w:rPr>
          <w:sz w:val="28"/>
          <w:szCs w:val="28"/>
        </w:rPr>
        <w:t>7,9</w:t>
      </w:r>
      <w:r w:rsidRPr="0015742F">
        <w:rPr>
          <w:sz w:val="28"/>
          <w:szCs w:val="28"/>
        </w:rPr>
        <w:t>%, 202</w:t>
      </w:r>
      <w:r>
        <w:rPr>
          <w:sz w:val="28"/>
          <w:szCs w:val="28"/>
        </w:rPr>
        <w:t>6</w:t>
      </w:r>
      <w:r w:rsidRPr="0015742F">
        <w:rPr>
          <w:sz w:val="28"/>
          <w:szCs w:val="28"/>
        </w:rPr>
        <w:t xml:space="preserve">г.- </w:t>
      </w:r>
      <w:r>
        <w:rPr>
          <w:sz w:val="28"/>
          <w:szCs w:val="28"/>
        </w:rPr>
        <w:t>7,5</w:t>
      </w:r>
      <w:r w:rsidRPr="0015742F">
        <w:rPr>
          <w:sz w:val="28"/>
          <w:szCs w:val="28"/>
        </w:rPr>
        <w:t>%).</w:t>
      </w:r>
      <w:r w:rsidRPr="00BF2EF7">
        <w:rPr>
          <w:sz w:val="28"/>
          <w:szCs w:val="28"/>
        </w:rPr>
        <w:t xml:space="preserve"> </w:t>
      </w:r>
    </w:p>
    <w:p w:rsidR="000D19E4" w:rsidRPr="00BF2EF7" w:rsidRDefault="000D19E4" w:rsidP="000D19E4">
      <w:pPr>
        <w:ind w:firstLine="708"/>
        <w:jc w:val="both"/>
        <w:rPr>
          <w:sz w:val="28"/>
          <w:szCs w:val="28"/>
        </w:rPr>
      </w:pPr>
      <w:r w:rsidRPr="00BF2EF7">
        <w:rPr>
          <w:sz w:val="28"/>
          <w:szCs w:val="28"/>
        </w:rPr>
        <w:t>Соответственно, налог на доходы физических лиц рассчитывается по основным показателям социально- экономического развития</w:t>
      </w:r>
      <w:r>
        <w:rPr>
          <w:sz w:val="28"/>
          <w:szCs w:val="28"/>
        </w:rPr>
        <w:t xml:space="preserve"> с учетом темпа роста</w:t>
      </w:r>
      <w:r w:rsidRPr="00BF2EF7">
        <w:rPr>
          <w:sz w:val="28"/>
          <w:szCs w:val="28"/>
        </w:rPr>
        <w:t xml:space="preserve">. Министерство финансов Забайкальского края </w:t>
      </w:r>
      <w:r>
        <w:rPr>
          <w:sz w:val="28"/>
          <w:szCs w:val="28"/>
        </w:rPr>
        <w:t xml:space="preserve">при расчете объема дотации на выравнивание </w:t>
      </w:r>
      <w:r w:rsidRPr="00BF2EF7">
        <w:rPr>
          <w:sz w:val="28"/>
          <w:szCs w:val="28"/>
        </w:rPr>
        <w:t>также учитывает вышеуказанные показатели.</w:t>
      </w:r>
    </w:p>
    <w:p w:rsidR="000D19E4" w:rsidRDefault="000D19E4" w:rsidP="000D19E4">
      <w:pPr>
        <w:ind w:firstLine="708"/>
        <w:jc w:val="both"/>
        <w:rPr>
          <w:sz w:val="28"/>
          <w:szCs w:val="28"/>
        </w:rPr>
      </w:pPr>
      <w:r>
        <w:rPr>
          <w:sz w:val="28"/>
          <w:szCs w:val="28"/>
        </w:rPr>
        <w:t xml:space="preserve">Комитетом по финансам администрации муниципального района «Чернышевский район» проведен анализ поступления НДФЛ в бюджет в течение 2-х лет и оценка поступлений в 2023 году. </w:t>
      </w:r>
    </w:p>
    <w:p w:rsidR="000D19E4" w:rsidRPr="008237BE" w:rsidRDefault="000D19E4" w:rsidP="000D19E4">
      <w:pPr>
        <w:jc w:val="both"/>
        <w:rPr>
          <w:sz w:val="28"/>
          <w:szCs w:val="28"/>
        </w:rPr>
      </w:pPr>
      <w:r w:rsidRPr="00BF2EF7">
        <w:rPr>
          <w:sz w:val="28"/>
          <w:szCs w:val="28"/>
        </w:rPr>
        <w:tab/>
      </w:r>
      <w:proofErr w:type="gramStart"/>
      <w:r w:rsidRPr="008237BE">
        <w:rPr>
          <w:sz w:val="28"/>
          <w:szCs w:val="28"/>
        </w:rPr>
        <w:t>Анализируя фактическое поступление за 2021 год по налогу на доходы физических лиц наблюдается</w:t>
      </w:r>
      <w:proofErr w:type="gramEnd"/>
      <w:r w:rsidRPr="008237BE">
        <w:rPr>
          <w:sz w:val="28"/>
          <w:szCs w:val="28"/>
        </w:rPr>
        <w:t xml:space="preserve"> перевыполнение плана. В результате сверх доведенного дополнительного норматива от НДФЛ в бюджет поступило   622,2тыс</w:t>
      </w:r>
      <w:proofErr w:type="gramStart"/>
      <w:r w:rsidRPr="008237BE">
        <w:rPr>
          <w:sz w:val="28"/>
          <w:szCs w:val="28"/>
        </w:rPr>
        <w:t>.р</w:t>
      </w:r>
      <w:proofErr w:type="gramEnd"/>
      <w:r w:rsidRPr="008237BE">
        <w:rPr>
          <w:sz w:val="28"/>
          <w:szCs w:val="28"/>
        </w:rPr>
        <w:t>уб.</w:t>
      </w:r>
    </w:p>
    <w:p w:rsidR="000D19E4" w:rsidRPr="008237BE" w:rsidRDefault="000D19E4" w:rsidP="000D19E4">
      <w:pPr>
        <w:ind w:firstLine="708"/>
        <w:jc w:val="both"/>
        <w:rPr>
          <w:sz w:val="28"/>
          <w:szCs w:val="28"/>
        </w:rPr>
      </w:pPr>
      <w:proofErr w:type="gramStart"/>
      <w:r w:rsidRPr="008237BE">
        <w:rPr>
          <w:sz w:val="28"/>
          <w:szCs w:val="28"/>
        </w:rPr>
        <w:t>Анализируя фактическое поступление за 2022 год по налогу на доходы физических лиц наблюдается</w:t>
      </w:r>
      <w:proofErr w:type="gramEnd"/>
      <w:r w:rsidRPr="008237BE">
        <w:rPr>
          <w:sz w:val="28"/>
          <w:szCs w:val="28"/>
        </w:rPr>
        <w:t xml:space="preserve"> перевыполнение плана. В результате сверх доведенного дополнительного норматива от НДФЛ в бюджет поступило 11 943,6 тыс</w:t>
      </w:r>
      <w:proofErr w:type="gramStart"/>
      <w:r w:rsidRPr="008237BE">
        <w:rPr>
          <w:sz w:val="28"/>
          <w:szCs w:val="28"/>
        </w:rPr>
        <w:t>.р</w:t>
      </w:r>
      <w:proofErr w:type="gramEnd"/>
      <w:r w:rsidRPr="008237BE">
        <w:rPr>
          <w:sz w:val="28"/>
          <w:szCs w:val="28"/>
        </w:rPr>
        <w:t>уб.</w:t>
      </w:r>
    </w:p>
    <w:p w:rsidR="000D19E4" w:rsidRPr="008237BE" w:rsidRDefault="000D19E4" w:rsidP="000D19E4">
      <w:pPr>
        <w:ind w:firstLine="708"/>
        <w:jc w:val="both"/>
        <w:rPr>
          <w:sz w:val="28"/>
          <w:szCs w:val="28"/>
        </w:rPr>
      </w:pPr>
      <w:r w:rsidRPr="008237BE">
        <w:rPr>
          <w:sz w:val="28"/>
          <w:szCs w:val="28"/>
        </w:rPr>
        <w:t>Наблюдается положительная динамика исполнения НДФЛ.</w:t>
      </w:r>
    </w:p>
    <w:p w:rsidR="000D19E4" w:rsidRPr="008237BE" w:rsidRDefault="000D19E4" w:rsidP="000D19E4">
      <w:pPr>
        <w:ind w:firstLine="708"/>
        <w:jc w:val="both"/>
        <w:rPr>
          <w:sz w:val="28"/>
          <w:szCs w:val="28"/>
        </w:rPr>
      </w:pPr>
    </w:p>
    <w:p w:rsidR="000D19E4" w:rsidRPr="008237BE" w:rsidRDefault="000D19E4" w:rsidP="000D19E4">
      <w:pPr>
        <w:ind w:firstLine="708"/>
        <w:jc w:val="both"/>
        <w:rPr>
          <w:sz w:val="28"/>
          <w:szCs w:val="28"/>
        </w:rPr>
      </w:pPr>
      <w:r w:rsidRPr="008237BE">
        <w:rPr>
          <w:sz w:val="28"/>
          <w:szCs w:val="28"/>
        </w:rPr>
        <w:t>Плановые поступления налога на доходы физических лиц:</w:t>
      </w:r>
    </w:p>
    <w:p w:rsidR="000D19E4" w:rsidRPr="008237BE" w:rsidRDefault="000D19E4" w:rsidP="000D19E4">
      <w:pPr>
        <w:ind w:firstLine="708"/>
        <w:jc w:val="both"/>
        <w:rPr>
          <w:sz w:val="28"/>
          <w:szCs w:val="28"/>
        </w:rPr>
      </w:pPr>
      <w:r w:rsidRPr="008237BE">
        <w:rPr>
          <w:sz w:val="28"/>
          <w:szCs w:val="28"/>
        </w:rPr>
        <w:t xml:space="preserve">- на </w:t>
      </w:r>
      <w:r w:rsidRPr="008237BE">
        <w:rPr>
          <w:b/>
          <w:sz w:val="28"/>
          <w:szCs w:val="28"/>
        </w:rPr>
        <w:t>2024 год</w:t>
      </w:r>
      <w:r w:rsidRPr="008237BE">
        <w:rPr>
          <w:sz w:val="28"/>
          <w:szCs w:val="28"/>
        </w:rPr>
        <w:t xml:space="preserve"> составляют в размере 400 863,1 тыс</w:t>
      </w:r>
      <w:proofErr w:type="gramStart"/>
      <w:r w:rsidRPr="008237BE">
        <w:rPr>
          <w:sz w:val="28"/>
          <w:szCs w:val="28"/>
        </w:rPr>
        <w:t>.р</w:t>
      </w:r>
      <w:proofErr w:type="gramEnd"/>
      <w:r w:rsidRPr="008237BE">
        <w:rPr>
          <w:sz w:val="28"/>
          <w:szCs w:val="28"/>
        </w:rPr>
        <w:t>уб. ( в том числе сумма по доп. нормативу –240 089,1тыс.руб.);</w:t>
      </w:r>
    </w:p>
    <w:p w:rsidR="000D19E4" w:rsidRPr="008237BE" w:rsidRDefault="000D19E4" w:rsidP="000D19E4">
      <w:pPr>
        <w:ind w:firstLine="708"/>
        <w:jc w:val="both"/>
        <w:rPr>
          <w:sz w:val="28"/>
          <w:szCs w:val="28"/>
        </w:rPr>
      </w:pPr>
      <w:r w:rsidRPr="008237BE">
        <w:rPr>
          <w:sz w:val="28"/>
          <w:szCs w:val="28"/>
        </w:rPr>
        <w:t xml:space="preserve">- на </w:t>
      </w:r>
      <w:r w:rsidRPr="008237BE">
        <w:rPr>
          <w:b/>
          <w:sz w:val="28"/>
          <w:szCs w:val="28"/>
        </w:rPr>
        <w:t>2025 год</w:t>
      </w:r>
      <w:r w:rsidRPr="008237BE">
        <w:rPr>
          <w:sz w:val="28"/>
          <w:szCs w:val="28"/>
        </w:rPr>
        <w:t xml:space="preserve"> составляют в сумме  444 603,3руб. (в том числе сумма по доп. нормативу – 270 930,1 тыс</w:t>
      </w:r>
      <w:proofErr w:type="gramStart"/>
      <w:r w:rsidRPr="008237BE">
        <w:rPr>
          <w:sz w:val="28"/>
          <w:szCs w:val="28"/>
        </w:rPr>
        <w:t>.р</w:t>
      </w:r>
      <w:proofErr w:type="gramEnd"/>
      <w:r w:rsidRPr="008237BE">
        <w:rPr>
          <w:sz w:val="28"/>
          <w:szCs w:val="28"/>
        </w:rPr>
        <w:t>уб.);</w:t>
      </w:r>
    </w:p>
    <w:p w:rsidR="000D19E4" w:rsidRPr="008237BE" w:rsidRDefault="000D19E4" w:rsidP="000D19E4">
      <w:pPr>
        <w:ind w:firstLine="708"/>
        <w:jc w:val="both"/>
        <w:rPr>
          <w:sz w:val="28"/>
          <w:szCs w:val="28"/>
        </w:rPr>
      </w:pPr>
      <w:r w:rsidRPr="008237BE">
        <w:rPr>
          <w:sz w:val="28"/>
          <w:szCs w:val="28"/>
        </w:rPr>
        <w:t xml:space="preserve">- на </w:t>
      </w:r>
      <w:r w:rsidRPr="008237BE">
        <w:rPr>
          <w:b/>
          <w:sz w:val="28"/>
          <w:szCs w:val="28"/>
        </w:rPr>
        <w:t>2026 год</w:t>
      </w:r>
      <w:r w:rsidRPr="008237BE">
        <w:rPr>
          <w:sz w:val="28"/>
          <w:szCs w:val="28"/>
        </w:rPr>
        <w:t xml:space="preserve"> составляют в сумме  478 484,0руб. (в том числе сумма по доп. нормативу –291 576,2тыс</w:t>
      </w:r>
      <w:proofErr w:type="gramStart"/>
      <w:r w:rsidRPr="008237BE">
        <w:rPr>
          <w:sz w:val="28"/>
          <w:szCs w:val="28"/>
        </w:rPr>
        <w:t>.р</w:t>
      </w:r>
      <w:proofErr w:type="gramEnd"/>
      <w:r w:rsidRPr="008237BE">
        <w:rPr>
          <w:sz w:val="28"/>
          <w:szCs w:val="28"/>
        </w:rPr>
        <w:t>уб.).</w:t>
      </w:r>
    </w:p>
    <w:p w:rsidR="000D19E4" w:rsidRPr="008237BE" w:rsidRDefault="000D19E4" w:rsidP="000D19E4">
      <w:pPr>
        <w:ind w:firstLine="708"/>
        <w:jc w:val="both"/>
        <w:rPr>
          <w:sz w:val="28"/>
          <w:szCs w:val="28"/>
        </w:rPr>
      </w:pPr>
    </w:p>
    <w:p w:rsidR="000D19E4" w:rsidRPr="00124B8F" w:rsidRDefault="000D19E4" w:rsidP="000D19E4">
      <w:pPr>
        <w:ind w:firstLine="708"/>
        <w:jc w:val="both"/>
        <w:rPr>
          <w:sz w:val="28"/>
          <w:szCs w:val="28"/>
        </w:rPr>
      </w:pPr>
      <w:r w:rsidRPr="00124B8F">
        <w:rPr>
          <w:sz w:val="28"/>
          <w:szCs w:val="28"/>
        </w:rPr>
        <w:t xml:space="preserve">При расчете налога на доходы физических лиц применен дополнительный норматив отчислений, установленный  приложением № 5 к Закону Забайкальского края от 22.12.2022 года № 2134-ЗЗК «О бюджете Забайкальского края на 2023 год и плановый период 2024-2025гг.». </w:t>
      </w:r>
    </w:p>
    <w:p w:rsidR="000D19E4" w:rsidRPr="00124B8F" w:rsidRDefault="000D19E4" w:rsidP="000D19E4">
      <w:pPr>
        <w:ind w:firstLine="708"/>
        <w:jc w:val="both"/>
        <w:rPr>
          <w:sz w:val="28"/>
          <w:szCs w:val="28"/>
        </w:rPr>
      </w:pPr>
      <w:r w:rsidRPr="00124B8F">
        <w:rPr>
          <w:sz w:val="28"/>
          <w:szCs w:val="28"/>
        </w:rPr>
        <w:t>Норматив отчислений по муниципальному району составил в размере:</w:t>
      </w:r>
    </w:p>
    <w:p w:rsidR="000D19E4" w:rsidRPr="00124B8F" w:rsidRDefault="000D19E4" w:rsidP="000D19E4">
      <w:pPr>
        <w:jc w:val="both"/>
        <w:rPr>
          <w:sz w:val="28"/>
          <w:szCs w:val="28"/>
        </w:rPr>
      </w:pPr>
      <w:r w:rsidRPr="00124B8F">
        <w:rPr>
          <w:sz w:val="28"/>
          <w:szCs w:val="28"/>
        </w:rPr>
        <w:t>2024 год- 37,4%;</w:t>
      </w:r>
    </w:p>
    <w:p w:rsidR="000D19E4" w:rsidRPr="00124B8F" w:rsidRDefault="000D19E4" w:rsidP="000D19E4">
      <w:pPr>
        <w:jc w:val="both"/>
        <w:rPr>
          <w:sz w:val="28"/>
          <w:szCs w:val="28"/>
        </w:rPr>
      </w:pPr>
      <w:r w:rsidRPr="00124B8F">
        <w:rPr>
          <w:sz w:val="28"/>
          <w:szCs w:val="28"/>
        </w:rPr>
        <w:t>2025 год -38,4%;</w:t>
      </w:r>
    </w:p>
    <w:p w:rsidR="000D19E4" w:rsidRPr="00124B8F" w:rsidRDefault="000D19E4" w:rsidP="000D19E4">
      <w:pPr>
        <w:jc w:val="both"/>
        <w:rPr>
          <w:sz w:val="28"/>
          <w:szCs w:val="28"/>
        </w:rPr>
      </w:pPr>
      <w:r>
        <w:rPr>
          <w:sz w:val="28"/>
          <w:szCs w:val="28"/>
        </w:rPr>
        <w:t>2026 год -38,4%.</w:t>
      </w:r>
    </w:p>
    <w:p w:rsidR="000D19E4" w:rsidRDefault="000D19E4" w:rsidP="000D19E4">
      <w:pPr>
        <w:ind w:firstLine="708"/>
        <w:jc w:val="both"/>
        <w:rPr>
          <w:sz w:val="28"/>
          <w:szCs w:val="28"/>
        </w:rPr>
      </w:pPr>
    </w:p>
    <w:p w:rsidR="000D19E4" w:rsidRDefault="000D19E4" w:rsidP="000D19E4">
      <w:pPr>
        <w:ind w:firstLine="708"/>
        <w:jc w:val="both"/>
        <w:rPr>
          <w:sz w:val="28"/>
          <w:szCs w:val="28"/>
        </w:rPr>
      </w:pPr>
      <w:r>
        <w:rPr>
          <w:sz w:val="28"/>
          <w:szCs w:val="28"/>
        </w:rPr>
        <w:t xml:space="preserve">Установленный дополнительный норматив дает право ежедневно получать собственные доходы   больше, чем утверждены   Бюджетным </w:t>
      </w:r>
      <w:r>
        <w:rPr>
          <w:sz w:val="28"/>
          <w:szCs w:val="28"/>
        </w:rPr>
        <w:lastRenderedPageBreak/>
        <w:t>кодексом РФ. Собственные доходы направляются на обеспечение выполнения расходных полномочий районного бюджета.</w:t>
      </w:r>
    </w:p>
    <w:p w:rsidR="000D19E4" w:rsidRDefault="000D19E4" w:rsidP="000D19E4">
      <w:pPr>
        <w:jc w:val="both"/>
        <w:rPr>
          <w:sz w:val="28"/>
          <w:szCs w:val="28"/>
        </w:rPr>
      </w:pPr>
      <w:r>
        <w:rPr>
          <w:sz w:val="28"/>
          <w:szCs w:val="28"/>
        </w:rPr>
        <w:tab/>
        <w:t xml:space="preserve">Дотация на выравнивание бюджетной обеспеченности предоставляется на основании Соглашения по осуществлению мер, направленных на снижение уровня </w:t>
      </w:r>
      <w:proofErr w:type="spellStart"/>
      <w:r>
        <w:rPr>
          <w:sz w:val="28"/>
          <w:szCs w:val="28"/>
        </w:rPr>
        <w:t>дотационности</w:t>
      </w:r>
      <w:proofErr w:type="spellEnd"/>
      <w:r>
        <w:rPr>
          <w:sz w:val="28"/>
          <w:szCs w:val="28"/>
        </w:rPr>
        <w:t xml:space="preserve"> муниципальных районов Забайкальского края и увеличение налоговых и неналоговых доходов консолидированных бюджетов муниципальных районов Забайкальского края, а также на бюджетную консолидацию и повышение эффективности использования бюджетных средств </w:t>
      </w:r>
      <w:r w:rsidRPr="001501F8">
        <w:rPr>
          <w:sz w:val="28"/>
          <w:szCs w:val="28"/>
        </w:rPr>
        <w:t>с</w:t>
      </w:r>
      <w:r>
        <w:rPr>
          <w:sz w:val="28"/>
          <w:szCs w:val="28"/>
        </w:rPr>
        <w:t xml:space="preserve"> учетом выполнения определенных условий. </w:t>
      </w:r>
    </w:p>
    <w:p w:rsidR="000D19E4" w:rsidRDefault="000D19E4" w:rsidP="000D19E4">
      <w:pPr>
        <w:ind w:firstLine="708"/>
        <w:jc w:val="both"/>
        <w:rPr>
          <w:sz w:val="28"/>
          <w:szCs w:val="28"/>
        </w:rPr>
      </w:pPr>
      <w:r>
        <w:rPr>
          <w:sz w:val="28"/>
          <w:szCs w:val="28"/>
        </w:rPr>
        <w:t>Невыполнения Получателем, т.е. муниципальным районом «Чернышевский район»,  обязательств, предусмотренных   Соглашением, объем дотаций подлежит сокращению, за исключением части дотации, подлежащей замене на дополнительный норматив отчислений от НДФЛ.</w:t>
      </w:r>
    </w:p>
    <w:p w:rsidR="000D19E4" w:rsidRDefault="000D19E4" w:rsidP="000D19E4">
      <w:pPr>
        <w:jc w:val="both"/>
        <w:rPr>
          <w:sz w:val="28"/>
          <w:szCs w:val="28"/>
        </w:rPr>
      </w:pPr>
      <w:r>
        <w:rPr>
          <w:sz w:val="28"/>
          <w:szCs w:val="28"/>
        </w:rPr>
        <w:tab/>
        <w:t>Следовательно, при не исполнении указанного Соглашения, есть вероятность сокращения объема дотации по решению Министерства финансов Забайкальского края, а утвержденный дополнительный норматив дает гарантию в получении доходов в размере дополнительного норматива, не подлежащего уменьшению.</w:t>
      </w:r>
    </w:p>
    <w:p w:rsidR="000D19E4" w:rsidRPr="00FE681B" w:rsidRDefault="000D19E4" w:rsidP="000D19E4">
      <w:pPr>
        <w:ind w:firstLine="708"/>
        <w:jc w:val="both"/>
        <w:rPr>
          <w:sz w:val="28"/>
          <w:szCs w:val="28"/>
        </w:rPr>
      </w:pPr>
      <w:proofErr w:type="gramStart"/>
      <w:r>
        <w:rPr>
          <w:sz w:val="28"/>
          <w:szCs w:val="28"/>
        </w:rPr>
        <w:t>Учитывая вышеизложенное, Комитет по финансам предлагает к утверждению проект Решения «О согласии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 на 2024 год и плановый период 2025-2026 годы.</w:t>
      </w:r>
      <w:proofErr w:type="gramEnd"/>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Pr>
        <w:pStyle w:val="a6"/>
        <w:spacing w:after="0"/>
        <w:jc w:val="both"/>
        <w:rPr>
          <w:sz w:val="28"/>
          <w:szCs w:val="28"/>
        </w:rPr>
      </w:pPr>
    </w:p>
    <w:p w:rsidR="000D19E4" w:rsidRDefault="000D19E4" w:rsidP="000D19E4"/>
    <w:p w:rsidR="000D19E4" w:rsidRDefault="000D19E4" w:rsidP="000D19E4">
      <w:pPr>
        <w:jc w:val="center"/>
        <w:rPr>
          <w:b/>
          <w:sz w:val="32"/>
          <w:szCs w:val="32"/>
        </w:rPr>
      </w:pPr>
      <w:r w:rsidRPr="007329E5">
        <w:rPr>
          <w:b/>
          <w:sz w:val="32"/>
          <w:szCs w:val="32"/>
        </w:rPr>
        <w:lastRenderedPageBreak/>
        <w:t xml:space="preserve">Анализ поступления НДФЛ по </w:t>
      </w:r>
      <w:proofErr w:type="gramStart"/>
      <w:r w:rsidRPr="007329E5">
        <w:rPr>
          <w:b/>
          <w:sz w:val="32"/>
          <w:szCs w:val="32"/>
        </w:rPr>
        <w:t>дополнительному</w:t>
      </w:r>
      <w:proofErr w:type="gramEnd"/>
      <w:r w:rsidRPr="007329E5">
        <w:rPr>
          <w:b/>
          <w:sz w:val="32"/>
          <w:szCs w:val="32"/>
        </w:rPr>
        <w:t xml:space="preserve"> </w:t>
      </w:r>
    </w:p>
    <w:p w:rsidR="000D19E4" w:rsidRPr="00A611B9" w:rsidRDefault="000D19E4" w:rsidP="000D19E4">
      <w:pPr>
        <w:jc w:val="center"/>
        <w:rPr>
          <w:b/>
          <w:sz w:val="32"/>
          <w:szCs w:val="32"/>
        </w:rPr>
      </w:pPr>
      <w:r w:rsidRPr="007329E5">
        <w:rPr>
          <w:b/>
          <w:sz w:val="32"/>
          <w:szCs w:val="32"/>
        </w:rPr>
        <w:t>нормативу в динамике</w:t>
      </w:r>
    </w:p>
    <w:p w:rsidR="000D19E4" w:rsidRDefault="000D19E4" w:rsidP="000D19E4"/>
    <w:p w:rsidR="000D19E4" w:rsidRDefault="000D19E4" w:rsidP="000D19E4">
      <w:pPr>
        <w:jc w:val="right"/>
      </w:pPr>
      <w:r>
        <w:t>тыс</w:t>
      </w:r>
      <w:proofErr w:type="gramStart"/>
      <w:r>
        <w:t>.р</w:t>
      </w:r>
      <w:proofErr w:type="gramEnd"/>
      <w:r>
        <w:t>уб.</w:t>
      </w:r>
    </w:p>
    <w:tbl>
      <w:tblPr>
        <w:tblStyle w:val="a9"/>
        <w:tblW w:w="0" w:type="auto"/>
        <w:tblInd w:w="-176" w:type="dxa"/>
        <w:tblLayout w:type="fixed"/>
        <w:tblLook w:val="04A0"/>
      </w:tblPr>
      <w:tblGrid>
        <w:gridCol w:w="2127"/>
        <w:gridCol w:w="1276"/>
        <w:gridCol w:w="1276"/>
        <w:gridCol w:w="1275"/>
        <w:gridCol w:w="1276"/>
        <w:gridCol w:w="1238"/>
        <w:gridCol w:w="1279"/>
      </w:tblGrid>
      <w:tr w:rsidR="000D19E4" w:rsidTr="00054737">
        <w:tc>
          <w:tcPr>
            <w:tcW w:w="2127" w:type="dxa"/>
            <w:vMerge w:val="restart"/>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НДФЛ</w:t>
            </w:r>
          </w:p>
        </w:tc>
        <w:tc>
          <w:tcPr>
            <w:tcW w:w="2552" w:type="dxa"/>
            <w:gridSpan w:val="2"/>
          </w:tcPr>
          <w:p w:rsidR="000D19E4" w:rsidRPr="00080EAA" w:rsidRDefault="000D19E4" w:rsidP="00054737">
            <w:pPr>
              <w:jc w:val="center"/>
              <w:rPr>
                <w:rFonts w:ascii="Times New Roman" w:hAnsi="Times New Roman" w:cs="Times New Roman"/>
                <w:b/>
                <w:sz w:val="24"/>
                <w:szCs w:val="24"/>
              </w:rPr>
            </w:pPr>
            <w:r w:rsidRPr="00080EAA">
              <w:rPr>
                <w:rFonts w:ascii="Times New Roman" w:hAnsi="Times New Roman" w:cs="Times New Roman"/>
                <w:b/>
                <w:sz w:val="24"/>
                <w:szCs w:val="24"/>
              </w:rPr>
              <w:t>20</w:t>
            </w:r>
            <w:r>
              <w:rPr>
                <w:rFonts w:ascii="Times New Roman" w:hAnsi="Times New Roman" w:cs="Times New Roman"/>
                <w:b/>
                <w:sz w:val="24"/>
                <w:szCs w:val="24"/>
              </w:rPr>
              <w:t>21г.</w:t>
            </w:r>
          </w:p>
          <w:p w:rsidR="000D19E4" w:rsidRPr="00080EAA" w:rsidRDefault="000D19E4" w:rsidP="00054737">
            <w:pPr>
              <w:jc w:val="center"/>
              <w:rPr>
                <w:rFonts w:ascii="Times New Roman" w:hAnsi="Times New Roman" w:cs="Times New Roman"/>
                <w:b/>
                <w:sz w:val="24"/>
                <w:szCs w:val="24"/>
              </w:rPr>
            </w:pPr>
          </w:p>
        </w:tc>
        <w:tc>
          <w:tcPr>
            <w:tcW w:w="2551" w:type="dxa"/>
            <w:gridSpan w:val="2"/>
          </w:tcPr>
          <w:p w:rsidR="000D19E4" w:rsidRPr="00080EAA" w:rsidRDefault="000D19E4" w:rsidP="00054737">
            <w:pPr>
              <w:jc w:val="center"/>
              <w:rPr>
                <w:rFonts w:ascii="Times New Roman" w:hAnsi="Times New Roman" w:cs="Times New Roman"/>
                <w:b/>
                <w:sz w:val="24"/>
                <w:szCs w:val="24"/>
              </w:rPr>
            </w:pPr>
            <w:r w:rsidRPr="00080EAA">
              <w:rPr>
                <w:rFonts w:ascii="Times New Roman" w:hAnsi="Times New Roman" w:cs="Times New Roman"/>
                <w:b/>
                <w:sz w:val="24"/>
                <w:szCs w:val="24"/>
              </w:rPr>
              <w:t>20</w:t>
            </w:r>
            <w:r>
              <w:rPr>
                <w:rFonts w:ascii="Times New Roman" w:hAnsi="Times New Roman" w:cs="Times New Roman"/>
                <w:b/>
                <w:sz w:val="24"/>
                <w:szCs w:val="24"/>
              </w:rPr>
              <w:t>22г.</w:t>
            </w:r>
          </w:p>
        </w:tc>
        <w:tc>
          <w:tcPr>
            <w:tcW w:w="2517" w:type="dxa"/>
            <w:gridSpan w:val="2"/>
          </w:tcPr>
          <w:p w:rsidR="000D19E4" w:rsidRDefault="000D19E4" w:rsidP="00054737">
            <w:pPr>
              <w:jc w:val="center"/>
              <w:rPr>
                <w:rFonts w:ascii="Times New Roman" w:hAnsi="Times New Roman" w:cs="Times New Roman"/>
                <w:b/>
                <w:sz w:val="24"/>
                <w:szCs w:val="24"/>
              </w:rPr>
            </w:pPr>
            <w:r>
              <w:rPr>
                <w:rFonts w:ascii="Times New Roman" w:hAnsi="Times New Roman" w:cs="Times New Roman"/>
                <w:b/>
                <w:sz w:val="24"/>
                <w:szCs w:val="24"/>
              </w:rPr>
              <w:t>Текущий финансовый период</w:t>
            </w:r>
          </w:p>
          <w:p w:rsidR="000D19E4" w:rsidRPr="00080EAA" w:rsidRDefault="000D19E4" w:rsidP="00054737">
            <w:pPr>
              <w:jc w:val="center"/>
              <w:rPr>
                <w:rFonts w:ascii="Times New Roman" w:hAnsi="Times New Roman" w:cs="Times New Roman"/>
                <w:b/>
                <w:sz w:val="24"/>
                <w:szCs w:val="24"/>
              </w:rPr>
            </w:pPr>
            <w:r w:rsidRPr="00080EAA">
              <w:rPr>
                <w:rFonts w:ascii="Times New Roman" w:hAnsi="Times New Roman" w:cs="Times New Roman"/>
                <w:b/>
                <w:sz w:val="24"/>
                <w:szCs w:val="24"/>
              </w:rPr>
              <w:t>20</w:t>
            </w:r>
            <w:r>
              <w:rPr>
                <w:rFonts w:ascii="Times New Roman" w:hAnsi="Times New Roman" w:cs="Times New Roman"/>
                <w:b/>
                <w:sz w:val="24"/>
                <w:szCs w:val="24"/>
              </w:rPr>
              <w:t>23г.</w:t>
            </w:r>
          </w:p>
          <w:p w:rsidR="000D19E4" w:rsidRPr="00080EAA" w:rsidRDefault="000D19E4" w:rsidP="00054737">
            <w:pPr>
              <w:jc w:val="center"/>
              <w:rPr>
                <w:rFonts w:ascii="Times New Roman" w:hAnsi="Times New Roman" w:cs="Times New Roman"/>
                <w:b/>
                <w:sz w:val="24"/>
                <w:szCs w:val="24"/>
              </w:rPr>
            </w:pPr>
          </w:p>
        </w:tc>
      </w:tr>
      <w:tr w:rsidR="000D19E4" w:rsidTr="00054737">
        <w:tc>
          <w:tcPr>
            <w:tcW w:w="2127" w:type="dxa"/>
            <w:vMerge/>
          </w:tcPr>
          <w:p w:rsidR="000D19E4" w:rsidRDefault="000D19E4" w:rsidP="00054737">
            <w:pPr>
              <w:rPr>
                <w:rFonts w:ascii="Times New Roman" w:hAnsi="Times New Roman" w:cs="Times New Roman"/>
                <w:sz w:val="24"/>
                <w:szCs w:val="24"/>
              </w:rPr>
            </w:pPr>
          </w:p>
        </w:tc>
        <w:tc>
          <w:tcPr>
            <w:tcW w:w="1276"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Всего</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41,2 %</w:t>
            </w:r>
          </w:p>
        </w:tc>
        <w:tc>
          <w:tcPr>
            <w:tcW w:w="1276"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по доп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орм.</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(26,2%)</w:t>
            </w:r>
          </w:p>
        </w:tc>
        <w:tc>
          <w:tcPr>
            <w:tcW w:w="1275"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Всего</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39,4 %</w:t>
            </w:r>
          </w:p>
        </w:tc>
        <w:tc>
          <w:tcPr>
            <w:tcW w:w="1276"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по доп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орм.</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(24,4%)</w:t>
            </w:r>
          </w:p>
        </w:tc>
        <w:tc>
          <w:tcPr>
            <w:tcW w:w="1238"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Всего</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37,4%</w:t>
            </w:r>
          </w:p>
        </w:tc>
        <w:tc>
          <w:tcPr>
            <w:tcW w:w="1279"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по доп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орм.</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(22,4%)</w:t>
            </w:r>
          </w:p>
        </w:tc>
      </w:tr>
      <w:tr w:rsidR="000D19E4" w:rsidTr="00054737">
        <w:tc>
          <w:tcPr>
            <w:tcW w:w="2127"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Утверждено по бюджету</w:t>
            </w:r>
          </w:p>
        </w:tc>
        <w:tc>
          <w:tcPr>
            <w:tcW w:w="1276"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294 619,9</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187 355,4</w:t>
            </w:r>
          </w:p>
        </w:tc>
        <w:tc>
          <w:tcPr>
            <w:tcW w:w="1275"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305 465,3</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189 171,4</w:t>
            </w:r>
          </w:p>
        </w:tc>
        <w:tc>
          <w:tcPr>
            <w:tcW w:w="1238"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331 735,0</w:t>
            </w:r>
          </w:p>
        </w:tc>
        <w:tc>
          <w:tcPr>
            <w:tcW w:w="1279"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198 686,2</w:t>
            </w:r>
          </w:p>
        </w:tc>
      </w:tr>
      <w:tr w:rsidR="000D19E4" w:rsidTr="00054737">
        <w:tc>
          <w:tcPr>
            <w:tcW w:w="2127"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Согласовано на «нулевых» чтениях</w:t>
            </w:r>
          </w:p>
        </w:tc>
        <w:tc>
          <w:tcPr>
            <w:tcW w:w="1276"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299 764,5</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190 626,9</w:t>
            </w:r>
          </w:p>
        </w:tc>
        <w:tc>
          <w:tcPr>
            <w:tcW w:w="1275"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327 770,9</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202 985,0</w:t>
            </w:r>
          </w:p>
        </w:tc>
        <w:tc>
          <w:tcPr>
            <w:tcW w:w="1238"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331 735,0</w:t>
            </w:r>
          </w:p>
        </w:tc>
        <w:tc>
          <w:tcPr>
            <w:tcW w:w="1279"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198 686,2</w:t>
            </w:r>
          </w:p>
        </w:tc>
      </w:tr>
      <w:tr w:rsidR="000D19E4" w:rsidTr="00054737">
        <w:tc>
          <w:tcPr>
            <w:tcW w:w="2127"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Уточненный план</w:t>
            </w:r>
          </w:p>
        </w:tc>
        <w:tc>
          <w:tcPr>
            <w:tcW w:w="1276"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299 749,5</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190 617,4</w:t>
            </w:r>
          </w:p>
        </w:tc>
        <w:tc>
          <w:tcPr>
            <w:tcW w:w="1275"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321 681,5</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199 213,9</w:t>
            </w:r>
          </w:p>
        </w:tc>
        <w:tc>
          <w:tcPr>
            <w:tcW w:w="1238"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334 735,0</w:t>
            </w:r>
          </w:p>
        </w:tc>
        <w:tc>
          <w:tcPr>
            <w:tcW w:w="1279"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200 483,0</w:t>
            </w:r>
          </w:p>
        </w:tc>
      </w:tr>
      <w:tr w:rsidR="000D19E4" w:rsidTr="00054737">
        <w:tc>
          <w:tcPr>
            <w:tcW w:w="2127"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 xml:space="preserve">Фактическое поступление </w:t>
            </w:r>
          </w:p>
        </w:tc>
        <w:tc>
          <w:tcPr>
            <w:tcW w:w="1276"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295 598,3</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187 977,6</w:t>
            </w:r>
          </w:p>
        </w:tc>
        <w:tc>
          <w:tcPr>
            <w:tcW w:w="1275"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324 751,3</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201 115,0</w:t>
            </w:r>
          </w:p>
        </w:tc>
        <w:tc>
          <w:tcPr>
            <w:tcW w:w="1238"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246 370,0</w:t>
            </w:r>
          </w:p>
        </w:tc>
        <w:tc>
          <w:tcPr>
            <w:tcW w:w="1279"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147 558,5</w:t>
            </w:r>
          </w:p>
        </w:tc>
      </w:tr>
      <w:tr w:rsidR="000D19E4" w:rsidTr="00054737">
        <w:tc>
          <w:tcPr>
            <w:tcW w:w="2127" w:type="dxa"/>
          </w:tcPr>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Отклонение,</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 xml:space="preserve"> (+) дополнительное поступление, </w:t>
            </w:r>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недопоступление</w:t>
            </w:r>
            <w:proofErr w:type="spellEnd"/>
          </w:p>
          <w:p w:rsidR="000D19E4" w:rsidRDefault="000D19E4" w:rsidP="0005473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факт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ост.-утв.план</w:t>
            </w:r>
            <w:proofErr w:type="spellEnd"/>
            <w:r>
              <w:rPr>
                <w:rFonts w:ascii="Times New Roman" w:hAnsi="Times New Roman" w:cs="Times New Roman"/>
                <w:sz w:val="24"/>
                <w:szCs w:val="24"/>
              </w:rPr>
              <w:t>)</w:t>
            </w:r>
          </w:p>
        </w:tc>
        <w:tc>
          <w:tcPr>
            <w:tcW w:w="1276"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+978,4</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+622,2</w:t>
            </w:r>
          </w:p>
        </w:tc>
        <w:tc>
          <w:tcPr>
            <w:tcW w:w="1275"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+19 286,0</w:t>
            </w:r>
          </w:p>
        </w:tc>
        <w:tc>
          <w:tcPr>
            <w:tcW w:w="1276"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+11 943,6</w:t>
            </w:r>
          </w:p>
        </w:tc>
        <w:tc>
          <w:tcPr>
            <w:tcW w:w="1238" w:type="dxa"/>
          </w:tcPr>
          <w:p w:rsidR="000D19E4" w:rsidRDefault="000D19E4" w:rsidP="00054737">
            <w:pPr>
              <w:jc w:val="center"/>
              <w:rPr>
                <w:rFonts w:ascii="Times New Roman" w:hAnsi="Times New Roman" w:cs="Times New Roman"/>
                <w:sz w:val="24"/>
                <w:szCs w:val="24"/>
              </w:rPr>
            </w:pPr>
            <w:r>
              <w:rPr>
                <w:rFonts w:ascii="Times New Roman" w:hAnsi="Times New Roman" w:cs="Times New Roman"/>
                <w:sz w:val="24"/>
                <w:szCs w:val="24"/>
              </w:rPr>
              <w:t>-85 365,0</w:t>
            </w:r>
          </w:p>
        </w:tc>
        <w:tc>
          <w:tcPr>
            <w:tcW w:w="1279" w:type="dxa"/>
          </w:tcPr>
          <w:p w:rsidR="000D19E4" w:rsidRPr="00BB19D2" w:rsidRDefault="000D19E4" w:rsidP="00054737">
            <w:pPr>
              <w:rPr>
                <w:rFonts w:ascii="Times New Roman" w:hAnsi="Times New Roman" w:cs="Times New Roman"/>
                <w:b/>
                <w:sz w:val="24"/>
                <w:szCs w:val="24"/>
              </w:rPr>
            </w:pPr>
            <w:r>
              <w:rPr>
                <w:rFonts w:ascii="Times New Roman" w:hAnsi="Times New Roman" w:cs="Times New Roman"/>
                <w:b/>
                <w:sz w:val="24"/>
                <w:szCs w:val="24"/>
              </w:rPr>
              <w:t>-51 127,7</w:t>
            </w:r>
          </w:p>
        </w:tc>
      </w:tr>
    </w:tbl>
    <w:p w:rsidR="000D19E4" w:rsidRDefault="000D19E4" w:rsidP="000D19E4"/>
    <w:p w:rsidR="000D19E4" w:rsidRDefault="000D19E4" w:rsidP="000D19E4"/>
    <w:p w:rsidR="000D19E4" w:rsidRDefault="000D19E4" w:rsidP="000D19E4"/>
    <w:p w:rsidR="008972D9" w:rsidRDefault="008972D9" w:rsidP="008972D9">
      <w:pPr>
        <w:autoSpaceDE w:val="0"/>
        <w:autoSpaceDN w:val="0"/>
        <w:adjustRightInd w:val="0"/>
        <w:ind w:firstLine="709"/>
        <w:jc w:val="cente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D19E4"/>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B99"/>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2659"/>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16</cp:revision>
  <cp:lastPrinted>2017-08-21T00:08:00Z</cp:lastPrinted>
  <dcterms:created xsi:type="dcterms:W3CDTF">2017-04-07T02:13:00Z</dcterms:created>
  <dcterms:modified xsi:type="dcterms:W3CDTF">2023-09-27T08:01:00Z</dcterms:modified>
</cp:coreProperties>
</file>