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Pr="009B065F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9B065F">
              <w:rPr>
                <w:rFonts w:ascii="Times New Roman" w:hAnsi="Times New Roman" w:cs="Times New Roman"/>
                <w:lang w:val="en-US"/>
              </w:rPr>
              <w:t>18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1054FE">
              <w:rPr>
                <w:rFonts w:ascii="Times New Roman" w:hAnsi="Times New Roman" w:cs="Times New Roman"/>
              </w:rPr>
              <w:t>сентября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731BB1">
              <w:rPr>
                <w:rFonts w:ascii="Times New Roman" w:hAnsi="Times New Roman" w:cs="Times New Roman"/>
              </w:rPr>
              <w:t>10</w:t>
            </w:r>
            <w:r w:rsidR="009B065F">
              <w:rPr>
                <w:rFonts w:ascii="Times New Roman" w:hAnsi="Times New Roman" w:cs="Times New Roman"/>
                <w:lang w:val="en-US"/>
              </w:rPr>
              <w:t>9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9B065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сельских поселений Чернышевского района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F15224">
        <w:rPr>
          <w:rFonts w:ascii="Times New Roman" w:hAnsi="Times New Roman" w:cs="Times New Roman"/>
          <w:b/>
          <w:sz w:val="28"/>
          <w:szCs w:val="28"/>
        </w:rPr>
        <w:t>.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1054FE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9B065F" w:rsidRPr="009B065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="009B065F" w:rsidRPr="009B065F">
        <w:rPr>
          <w:rFonts w:ascii="Times New Roman" w:hAnsi="Times New Roman" w:cs="Times New Roman"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сельских поселений Чернышевского района</w:t>
      </w:r>
      <w:bookmarkStart w:id="0" w:name="_GoBack"/>
      <w:bookmarkEnd w:id="0"/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31BB1">
        <w:rPr>
          <w:rFonts w:ascii="Times New Roman" w:hAnsi="Times New Roman" w:cs="Times New Roman"/>
          <w:sz w:val="28"/>
          <w:szCs w:val="28"/>
        </w:rPr>
        <w:t>строительства, архитектуры, дорожного хозяйства и транспорта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73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731BB1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proofErr w:type="spellStart"/>
      <w:r w:rsidR="00731BB1">
        <w:rPr>
          <w:rFonts w:ascii="Times New Roman" w:eastAsia="Times New Roman" w:hAnsi="Times New Roman" w:cs="Times New Roman"/>
          <w:sz w:val="28"/>
          <w:szCs w:val="28"/>
        </w:rPr>
        <w:t>Лахадырь</w:t>
      </w:r>
      <w:proofErr w:type="spellEnd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42" w:rsidRDefault="00AF4D42">
      <w:pPr>
        <w:spacing w:line="240" w:lineRule="auto"/>
      </w:pPr>
      <w:r>
        <w:separator/>
      </w:r>
    </w:p>
  </w:endnote>
  <w:endnote w:type="continuationSeparator" w:id="0">
    <w:p w:rsidR="00AF4D42" w:rsidRDefault="00AF4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42" w:rsidRDefault="00AF4D42">
      <w:pPr>
        <w:spacing w:after="0"/>
      </w:pPr>
      <w:r>
        <w:separator/>
      </w:r>
    </w:p>
  </w:footnote>
  <w:footnote w:type="continuationSeparator" w:id="0">
    <w:p w:rsidR="00AF4D42" w:rsidRDefault="00AF4D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2184A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35747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518AF"/>
    <w:rsid w:val="00554DF8"/>
    <w:rsid w:val="005601D2"/>
    <w:rsid w:val="005669AA"/>
    <w:rsid w:val="005D5828"/>
    <w:rsid w:val="00642A4A"/>
    <w:rsid w:val="00692060"/>
    <w:rsid w:val="006C0968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B065F"/>
    <w:rsid w:val="009F64F3"/>
    <w:rsid w:val="00A37E48"/>
    <w:rsid w:val="00A46C45"/>
    <w:rsid w:val="00A76B9A"/>
    <w:rsid w:val="00A96209"/>
    <w:rsid w:val="00AF4D42"/>
    <w:rsid w:val="00B0249E"/>
    <w:rsid w:val="00B36358"/>
    <w:rsid w:val="00B579FC"/>
    <w:rsid w:val="00B77113"/>
    <w:rsid w:val="00B85AB3"/>
    <w:rsid w:val="00B9438F"/>
    <w:rsid w:val="00BA7528"/>
    <w:rsid w:val="00BE0790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E22D6E"/>
    <w:rsid w:val="00E65A8B"/>
    <w:rsid w:val="00E65EA7"/>
    <w:rsid w:val="00EC1230"/>
    <w:rsid w:val="00EC7F98"/>
    <w:rsid w:val="00EE1A9D"/>
    <w:rsid w:val="00F12935"/>
    <w:rsid w:val="00F15224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546F-47CA-4903-B7D4-682BE629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100</cp:revision>
  <cp:lastPrinted>2024-09-17T23:53:00Z</cp:lastPrinted>
  <dcterms:created xsi:type="dcterms:W3CDTF">2018-06-05T05:56:00Z</dcterms:created>
  <dcterms:modified xsi:type="dcterms:W3CDTF">2024-09-17T23:53:00Z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