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0460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441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04604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контрактом, и состава комиссии по поступлению и выбытию активов администрации муниципального района «Чернышевский район»</w:t>
      </w:r>
    </w:p>
    <w:p w:rsidR="00A04604" w:rsidRPr="001607ED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РФ от 4 июля 2018 года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  <w:proofErr w:type="spellStart"/>
      <w:proofErr w:type="gramStart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в л я ю</w:t>
      </w: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4604" w:rsidRPr="001607ED" w:rsidRDefault="00A04604" w:rsidP="00A0460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Правила списания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контрактами в администрации муниципального района «Чернышевский район», </w:t>
      </w:r>
      <w:proofErr w:type="gramStart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постановлению.</w:t>
      </w:r>
    </w:p>
    <w:p w:rsidR="00A04604" w:rsidRPr="001607ED" w:rsidRDefault="00A04604" w:rsidP="00A0460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Создать состав комиссии по поступлению и выбытию активов в целях подготовки </w:t>
      </w:r>
      <w:proofErr w:type="gramStart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proofErr w:type="gramEnd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контрактами администрации муниципального района «Чернышевский район», согласно приложения 2 к настоящему постановлению.</w:t>
      </w:r>
    </w:p>
    <w:p w:rsidR="00A04604" w:rsidRPr="001607ED" w:rsidRDefault="00A04604" w:rsidP="00A0460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размещению на официальном сайте администрации муниципального района «Чернышевский район» в информационно-телекоммуникационной сети «Интернет».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подписания.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Default="00A04604" w:rsidP="00A046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района</w:t>
      </w: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«Чернышевский район»                                                              А.В. Подойницын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«Чернышевский район»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сентября </w:t>
      </w: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441 </w:t>
      </w:r>
    </w:p>
    <w:p w:rsidR="00A04604" w:rsidRPr="001607ED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A04604" w:rsidRPr="001607ED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комиссии по поступлению и выбытию активов, созданной заказчиком в целях подготовки </w:t>
      </w:r>
      <w:proofErr w:type="gramStart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решений</w:t>
      </w:r>
      <w:proofErr w:type="gramEnd"/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администрации муниципального района «Чернышевский район»</w:t>
      </w:r>
    </w:p>
    <w:p w:rsidR="00A04604" w:rsidRPr="001607ED" w:rsidRDefault="00A04604" w:rsidP="00A046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определяет порядок создания и организацию работы комиссии по поступлению и выбытию активов в администрации муниципального района «Чернышевский район» (далее соответственно – комиссия, заказчик).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своей работе руководствуется Конституцией Российской Федерации,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нужд», Правилами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РФ</w:t>
      </w:r>
      <w:proofErr w:type="gramEnd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 июля 2018г. № 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 и задачи комиссии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2.2. Основными задачами комиссии являются: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контрактам;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решений о списании начисленных и неуплаченных сумм неустоек (штрафов, пеней) по муниципальным контрактам;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протокола заседания комиссии о принятом решении;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оформление актов о списании начисленной и неуплаченной суммы неустоек (штрафов, пеней) по муниципальному контракту.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формирования комиссии</w:t>
      </w:r>
    </w:p>
    <w:p w:rsidR="00A04604" w:rsidRPr="001607ED" w:rsidRDefault="00A04604" w:rsidP="00A04604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A04604" w:rsidRPr="001607ED" w:rsidRDefault="00A04604" w:rsidP="00A04604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3.2. Комиссия создается постановлением администрации муниципального района «Чернышевский район», в котором определяется ее персональный состав, назначаются председатель комиссии, его заместитель и секретарь комиссии.</w:t>
      </w:r>
    </w:p>
    <w:p w:rsidR="00A04604" w:rsidRPr="001607ED" w:rsidRDefault="00A04604" w:rsidP="00A04604">
      <w:pPr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A04604" w:rsidRPr="001607ED" w:rsidRDefault="00A04604" w:rsidP="00A0460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Организация и порядок работы комиссии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 списании таких неустоек.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4.2. Решения по вопросам, отнесенным к компетенции комиссии, принимаются на заседаниях комиссии.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4.3. Заседание комиссии созывается председателем комиссии.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4.4. Заседание комиссии считается правомочным, если на нем присутствует три человека.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4.5. Решения комиссии принимаются простым большинством голосов от числа присутствующих на заседании членов комиссии.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4.6. При голосовании каждый член комиссии имеет один голос.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4.7. Решения, принимаемые на заседании комиссии, оформляются протоколом, который подписывают председатель комиссии, в его отсутствие – заместитель председателя, и члены комиссии.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4.8. Протоколы по итогам работы комиссии с приложенными документами хранятся у заказчика в соответствии с номенклатурой дел.</w:t>
      </w:r>
    </w:p>
    <w:p w:rsidR="00A04604" w:rsidRPr="001607ED" w:rsidRDefault="00A04604" w:rsidP="00A046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604" w:rsidRPr="001607ED" w:rsidRDefault="00A04604" w:rsidP="00A04604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  <w:sectPr w:rsidR="00A04604" w:rsidRPr="001607ED" w:rsidSect="00447C3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к Положению о комиссии по поступлению</w:t>
      </w:r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07ED">
        <w:rPr>
          <w:rFonts w:ascii="Times New Roman" w:hAnsi="Times New Roman" w:cs="Times New Roman"/>
          <w:sz w:val="28"/>
          <w:szCs w:val="28"/>
        </w:rPr>
        <w:t>и выбытию активов, созданной заказчиком</w:t>
      </w:r>
      <w:proofErr w:type="gramEnd"/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в целях подготовки решений о списании</w:t>
      </w:r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начисленных и неуплаченных сумм</w:t>
      </w:r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 xml:space="preserve">неустоек (штрафов, пеней) </w:t>
      </w:r>
      <w:proofErr w:type="gramStart"/>
      <w:r w:rsidRPr="001607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04604" w:rsidRPr="001607ED" w:rsidRDefault="00A04604" w:rsidP="00A04604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муниципальным контрактам</w:t>
      </w:r>
    </w:p>
    <w:p w:rsidR="00A04604" w:rsidRPr="001607ED" w:rsidRDefault="00A04604" w:rsidP="00A04604">
      <w:pPr>
        <w:spacing w:after="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  <w:gridCol w:w="840"/>
        <w:gridCol w:w="345"/>
        <w:gridCol w:w="1035"/>
        <w:gridCol w:w="510"/>
        <w:gridCol w:w="2445"/>
        <w:gridCol w:w="555"/>
        <w:gridCol w:w="120"/>
        <w:gridCol w:w="390"/>
        <w:gridCol w:w="510"/>
        <w:gridCol w:w="330"/>
        <w:gridCol w:w="1800"/>
        <w:gridCol w:w="2085"/>
        <w:gridCol w:w="45"/>
      </w:tblGrid>
      <w:tr w:rsidR="00A04604" w:rsidRPr="001607ED" w:rsidTr="00731FD6">
        <w:tc>
          <w:tcPr>
            <w:tcW w:w="15300" w:type="dxa"/>
            <w:gridSpan w:val="14"/>
            <w:shd w:val="clear" w:color="auto" w:fill="FFFFFF"/>
            <w:hideMark/>
          </w:tcPr>
          <w:p w:rsidR="00A04604" w:rsidRPr="001607ED" w:rsidRDefault="00A04604" w:rsidP="00731FD6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УВЕДОМЛЕНИЕ N _______</w:t>
            </w:r>
          </w:p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  <w:p w:rsidR="00A04604" w:rsidRPr="001607ED" w:rsidRDefault="00A04604" w:rsidP="00731FD6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A04604" w:rsidRPr="001607ED" w:rsidTr="00731FD6">
        <w:tc>
          <w:tcPr>
            <w:tcW w:w="13170" w:type="dxa"/>
            <w:gridSpan w:val="12"/>
            <w:tcBorders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A04604" w:rsidRPr="001607ED" w:rsidTr="00731FD6">
        <w:tc>
          <w:tcPr>
            <w:tcW w:w="5475" w:type="dxa"/>
            <w:gridSpan w:val="3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от "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55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7E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1607E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Наименование заказчика</w:t>
            </w:r>
          </w:p>
        </w:tc>
        <w:tc>
          <w:tcPr>
            <w:tcW w:w="708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trHeight w:val="240"/>
        </w:trPr>
        <w:tc>
          <w:tcPr>
            <w:tcW w:w="4290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(полное наименование)</w:t>
            </w:r>
          </w:p>
        </w:tc>
        <w:tc>
          <w:tcPr>
            <w:tcW w:w="1800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4604" w:rsidRPr="001607ED" w:rsidTr="00731FD6">
        <w:trPr>
          <w:trHeight w:val="240"/>
        </w:trPr>
        <w:tc>
          <w:tcPr>
            <w:tcW w:w="4290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(сокращенное наименование</w:t>
            </w:r>
            <w:hyperlink r:id="rId5" w:anchor="/document/71981672/entry/1111" w:history="1">
              <w:r w:rsidRPr="001607ED">
                <w:rPr>
                  <w:rStyle w:val="a3"/>
                  <w:color w:val="000000" w:themeColor="text1"/>
                  <w:szCs w:val="28"/>
                </w:rPr>
                <w:t>*</w:t>
              </w:r>
            </w:hyperlink>
            <w:r w:rsidRPr="001607E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trHeight w:val="240"/>
        </w:trPr>
        <w:tc>
          <w:tcPr>
            <w:tcW w:w="4290" w:type="dxa"/>
            <w:vMerge w:val="restart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880" w:type="dxa"/>
            <w:gridSpan w:val="11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4604" w:rsidRPr="001607ED" w:rsidTr="00731F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по </w:t>
            </w:r>
            <w:hyperlink r:id="rId6" w:anchor="/document/70284934/entry/0" w:history="1">
              <w:r w:rsidRPr="001607ED">
                <w:rPr>
                  <w:rStyle w:val="a3"/>
                  <w:color w:val="000000" w:themeColor="text1"/>
                  <w:szCs w:val="28"/>
                </w:rPr>
                <w:t>ОКОПФ</w:t>
              </w:r>
            </w:hyperlink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по </w:t>
            </w:r>
            <w:hyperlink r:id="rId7" w:anchor="/document/70465940/entry/0" w:history="1">
              <w:r w:rsidRPr="001607ED">
                <w:rPr>
                  <w:rStyle w:val="a3"/>
                  <w:color w:val="000000" w:themeColor="text1"/>
                  <w:szCs w:val="28"/>
                </w:rPr>
                <w:t>ОКТМО</w:t>
              </w:r>
            </w:hyperlink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7ED">
              <w:rPr>
                <w:color w:val="000000" w:themeColor="text1"/>
                <w:sz w:val="28"/>
                <w:szCs w:val="28"/>
              </w:rPr>
              <w:t>(фамилия, имя, отчество</w:t>
            </w:r>
            <w:hyperlink r:id="rId8" w:anchor="/document/71981672/entry/1111" w:history="1">
              <w:r w:rsidRPr="001607ED">
                <w:rPr>
                  <w:rStyle w:val="a3"/>
                  <w:color w:val="000000" w:themeColor="text1"/>
                  <w:szCs w:val="28"/>
                </w:rPr>
                <w:t>*</w:t>
              </w:r>
            </w:hyperlink>
            <w:r w:rsidRPr="001607ED">
              <w:rPr>
                <w:color w:val="000000" w:themeColor="text1"/>
                <w:sz w:val="28"/>
                <w:szCs w:val="28"/>
              </w:rPr>
              <w:t> физического лица /</w:t>
            </w:r>
            <w:proofErr w:type="gramEnd"/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trHeight w:val="240"/>
        </w:trPr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полное (сокращенное</w:t>
            </w:r>
            <w:hyperlink r:id="rId9" w:anchor="/document/71981672/entry/1111" w:history="1">
              <w:r w:rsidRPr="001607ED">
                <w:rPr>
                  <w:rStyle w:val="a3"/>
                  <w:color w:val="000000" w:themeColor="text1"/>
                  <w:szCs w:val="28"/>
                </w:rPr>
                <w:t>*</w:t>
              </w:r>
            </w:hyperlink>
            <w:r w:rsidRPr="001607ED">
              <w:rPr>
                <w:color w:val="000000" w:themeColor="text1"/>
                <w:sz w:val="28"/>
                <w:szCs w:val="28"/>
              </w:rPr>
              <w:t>) наименование юридического лица)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trHeight w:val="240"/>
        </w:trPr>
        <w:tc>
          <w:tcPr>
            <w:tcW w:w="4290" w:type="dxa"/>
            <w:vMerge w:val="restart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 xml:space="preserve">Наименование организационно-правовой формы поставщика </w:t>
            </w:r>
            <w:r w:rsidRPr="001607ED">
              <w:rPr>
                <w:color w:val="000000" w:themeColor="text1"/>
                <w:sz w:val="28"/>
                <w:szCs w:val="28"/>
              </w:rPr>
              <w:lastRenderedPageBreak/>
              <w:t>(подрядчика, исполнителя)</w:t>
            </w:r>
          </w:p>
        </w:tc>
        <w:tc>
          <w:tcPr>
            <w:tcW w:w="8880" w:type="dxa"/>
            <w:gridSpan w:val="11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lastRenderedPageBreak/>
              <w:t>Дата постановки на учет в налоговом органе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4604" w:rsidRPr="001607ED" w:rsidTr="00731F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по </w:t>
            </w:r>
            <w:hyperlink r:id="rId10" w:anchor="/document/70284934/entry/0" w:history="1">
              <w:r w:rsidRPr="001607ED">
                <w:rPr>
                  <w:rStyle w:val="a3"/>
                  <w:color w:val="000000" w:themeColor="text1"/>
                  <w:szCs w:val="28"/>
                </w:rPr>
                <w:t>ОКОПФ</w:t>
              </w:r>
            </w:hyperlink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по </w:t>
            </w:r>
            <w:hyperlink r:id="rId11" w:anchor="/document/70465940/entry/0" w:history="1">
              <w:r w:rsidRPr="001607ED">
                <w:rPr>
                  <w:rStyle w:val="a3"/>
                  <w:color w:val="000000" w:themeColor="text1"/>
                  <w:szCs w:val="28"/>
                </w:rPr>
                <w:t>ОКТМО</w:t>
              </w:r>
            </w:hyperlink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29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80" w:type="dxa"/>
            <w:gridSpan w:val="10"/>
            <w:tcBorders>
              <w:top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(по </w:t>
            </w:r>
            <w:hyperlink r:id="rId12" w:anchor="/document/12127475/entry/0" w:history="1">
              <w:r w:rsidRPr="001607ED">
                <w:rPr>
                  <w:rStyle w:val="a3"/>
                  <w:color w:val="000000" w:themeColor="text1"/>
                  <w:szCs w:val="28"/>
                </w:rPr>
                <w:t>ОКСМ</w:t>
              </w:r>
            </w:hyperlink>
            <w:r w:rsidRPr="001607E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gridAfter w:val="1"/>
          <w:wAfter w:w="45" w:type="dxa"/>
        </w:trPr>
        <w:tc>
          <w:tcPr>
            <w:tcW w:w="15255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  <w:p w:rsidR="00A04604" w:rsidRPr="001607ED" w:rsidRDefault="00A04604" w:rsidP="00731FD6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Сведения о контракте</w:t>
            </w:r>
          </w:p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gridAfter w:val="1"/>
          <w:wAfter w:w="45" w:type="dxa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Номер контракта</w:t>
            </w:r>
          </w:p>
        </w:tc>
        <w:tc>
          <w:tcPr>
            <w:tcW w:w="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A04604" w:rsidRPr="001607ED" w:rsidTr="00731FD6">
        <w:trPr>
          <w:gridAfter w:val="1"/>
          <w:wAfter w:w="45" w:type="dxa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A04604" w:rsidRPr="001607ED" w:rsidRDefault="00A04604" w:rsidP="00A04604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607ED">
        <w:rPr>
          <w:color w:val="000000" w:themeColor="text1"/>
          <w:sz w:val="28"/>
          <w:szCs w:val="28"/>
        </w:rPr>
        <w:t> </w:t>
      </w:r>
    </w:p>
    <w:tbl>
      <w:tblPr>
        <w:tblW w:w="15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8"/>
        <w:gridCol w:w="3840"/>
        <w:gridCol w:w="376"/>
        <w:gridCol w:w="506"/>
        <w:gridCol w:w="1482"/>
        <w:gridCol w:w="798"/>
        <w:gridCol w:w="1800"/>
        <w:gridCol w:w="1995"/>
        <w:gridCol w:w="15"/>
      </w:tblGrid>
      <w:tr w:rsidR="00A04604" w:rsidRPr="001607ED" w:rsidTr="00731FD6">
        <w:trPr>
          <w:gridAfter w:val="1"/>
          <w:wAfter w:w="15" w:type="dxa"/>
        </w:trPr>
        <w:tc>
          <w:tcPr>
            <w:tcW w:w="9210" w:type="dxa"/>
            <w:gridSpan w:val="4"/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 xml:space="preserve">В соответствии </w:t>
            </w:r>
            <w:proofErr w:type="gramStart"/>
            <w:r w:rsidRPr="001607E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607ED">
              <w:rPr>
                <w:color w:val="000000" w:themeColor="text1"/>
                <w:sz w:val="28"/>
                <w:szCs w:val="28"/>
              </w:rPr>
              <w:t xml:space="preserve"> ___________________________________________________</w:t>
            </w:r>
          </w:p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(наименование внутреннего</w:t>
            </w:r>
            <w:r w:rsidRPr="001607ED">
              <w:rPr>
                <w:color w:val="000000" w:themeColor="text1"/>
                <w:sz w:val="28"/>
                <w:szCs w:val="28"/>
              </w:rPr>
              <w:br/>
              <w:t>распорядительного документа заказчика)</w:t>
            </w:r>
          </w:p>
        </w:tc>
        <w:tc>
          <w:tcPr>
            <w:tcW w:w="6075" w:type="dxa"/>
            <w:gridSpan w:val="4"/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от "___" ________ 20 __ г. N ____</w:t>
            </w:r>
          </w:p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gridAfter w:val="1"/>
          <w:wAfter w:w="15" w:type="dxa"/>
        </w:trPr>
        <w:tc>
          <w:tcPr>
            <w:tcW w:w="15285" w:type="dxa"/>
            <w:gridSpan w:val="8"/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A04604" w:rsidRPr="001607ED" w:rsidTr="00731FD6">
        <w:trPr>
          <w:gridAfter w:val="1"/>
          <w:wAfter w:w="15" w:type="dxa"/>
        </w:trPr>
        <w:tc>
          <w:tcPr>
            <w:tcW w:w="13290" w:type="dxa"/>
            <w:gridSpan w:val="7"/>
            <w:tcBorders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rPr>
          <w:gridAfter w:val="1"/>
          <w:wAfter w:w="15" w:type="dxa"/>
        </w:trPr>
        <w:tc>
          <w:tcPr>
            <w:tcW w:w="13290" w:type="dxa"/>
            <w:gridSpan w:val="7"/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(прописью)</w:t>
            </w:r>
          </w:p>
        </w:tc>
        <w:tc>
          <w:tcPr>
            <w:tcW w:w="1995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07ED">
              <w:rPr>
                <w:color w:val="000000" w:themeColor="text1"/>
                <w:sz w:val="28"/>
                <w:szCs w:val="28"/>
              </w:rPr>
              <w:t>(цифрами (0,00)</w:t>
            </w:r>
            <w:proofErr w:type="gramEnd"/>
          </w:p>
        </w:tc>
      </w:tr>
      <w:tr w:rsidR="00A04604" w:rsidRPr="001607ED" w:rsidTr="00731FD6">
        <w:tc>
          <w:tcPr>
            <w:tcW w:w="4488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Руководитель заказчика (уполномоченное лицо)</w:t>
            </w:r>
          </w:p>
        </w:tc>
        <w:tc>
          <w:tcPr>
            <w:tcW w:w="384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6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98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10" w:type="dxa"/>
            <w:gridSpan w:val="3"/>
            <w:tcBorders>
              <w:bottom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04604" w:rsidRPr="001607ED" w:rsidTr="00731FD6">
        <w:tc>
          <w:tcPr>
            <w:tcW w:w="4488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76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798" w:type="dxa"/>
            <w:shd w:val="clear" w:color="auto" w:fill="FFFFFF"/>
            <w:hideMark/>
          </w:tcPr>
          <w:p w:rsidR="00A04604" w:rsidRPr="001607ED" w:rsidRDefault="00A04604" w:rsidP="00731FD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</w:tcBorders>
            <w:shd w:val="clear" w:color="auto" w:fill="FFFFFF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A04604" w:rsidRPr="001607ED" w:rsidRDefault="00A04604" w:rsidP="00A04604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607ED">
        <w:rPr>
          <w:color w:val="000000" w:themeColor="text1"/>
          <w:sz w:val="28"/>
          <w:szCs w:val="28"/>
        </w:rPr>
        <w:t> </w:t>
      </w:r>
    </w:p>
    <w:tbl>
      <w:tblPr>
        <w:tblW w:w="11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9"/>
        <w:gridCol w:w="4776"/>
      </w:tblGrid>
      <w:tr w:rsidR="00A04604" w:rsidRPr="001607ED" w:rsidTr="00731FD6">
        <w:tc>
          <w:tcPr>
            <w:tcW w:w="663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"____" ________________ 20____ г.</w:t>
            </w:r>
          </w:p>
        </w:tc>
        <w:tc>
          <w:tcPr>
            <w:tcW w:w="4770" w:type="dxa"/>
            <w:shd w:val="clear" w:color="auto" w:fill="FFFFFF"/>
            <w:vAlign w:val="bottom"/>
            <w:hideMark/>
          </w:tcPr>
          <w:p w:rsidR="00A04604" w:rsidRPr="001607ED" w:rsidRDefault="00A04604" w:rsidP="00731FD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607ED">
              <w:rPr>
                <w:color w:val="000000" w:themeColor="text1"/>
                <w:sz w:val="28"/>
                <w:szCs w:val="28"/>
              </w:rPr>
              <w:t>М.П.</w:t>
            </w:r>
          </w:p>
        </w:tc>
      </w:tr>
    </w:tbl>
    <w:p w:rsidR="00A04604" w:rsidRPr="001607ED" w:rsidRDefault="00A04604" w:rsidP="00A04604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  <w:sectPr w:rsidR="00A04604" w:rsidRPr="001607ED" w:rsidSect="002C2923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«Чернышевский район»</w:t>
      </w:r>
    </w:p>
    <w:p w:rsidR="00A04604" w:rsidRPr="001607ED" w:rsidRDefault="00A04604" w:rsidP="00A04604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сентября </w:t>
      </w: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441</w:t>
      </w:r>
    </w:p>
    <w:p w:rsidR="00A04604" w:rsidRPr="001607ED" w:rsidRDefault="00A04604" w:rsidP="00A04604">
      <w:pPr>
        <w:spacing w:after="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p w:rsidR="00A04604" w:rsidRPr="001607ED" w:rsidRDefault="00A04604" w:rsidP="00A04604">
      <w:pPr>
        <w:spacing w:after="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p w:rsidR="00A04604" w:rsidRPr="001607ED" w:rsidRDefault="00A04604" w:rsidP="00A04604">
      <w:pPr>
        <w:spacing w:after="0"/>
        <w:ind w:left="4820" w:hanging="48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комиссии</w:t>
      </w:r>
    </w:p>
    <w:p w:rsidR="00A04604" w:rsidRPr="001607ED" w:rsidRDefault="00A04604" w:rsidP="00A04604">
      <w:pPr>
        <w:spacing w:after="120"/>
        <w:ind w:left="4820" w:hanging="48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поступлению и выбытию активов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</w:t>
      </w:r>
      <w:proofErr w:type="gramStart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активов и определения целесообразности их списания (выбытия) создать постоянно действующую комиссию по поступлению и выбытию активов в следующем составе: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управляющий делами администрации муниципального района «Чернышевский район»; при его отсутствии - </w:t>
      </w:r>
      <w:r w:rsidRPr="001607ED">
        <w:rPr>
          <w:rFonts w:ascii="Times New Roman" w:hAnsi="Times New Roman" w:cs="Times New Roman"/>
          <w:sz w:val="28"/>
          <w:szCs w:val="28"/>
        </w:rPr>
        <w:t>начальник отдела правовой и кадровой работы администрации муниципального района «Чернышевский район».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- ведущий специалист отдела бухгалтерского обслуживания администрации муниципального района «Чернышевский район»;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07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7ED">
        <w:rPr>
          <w:rFonts w:ascii="Times New Roman" w:hAnsi="Times New Roman" w:cs="Times New Roman"/>
          <w:sz w:val="28"/>
          <w:szCs w:val="28"/>
        </w:rPr>
        <w:t xml:space="preserve">- </w:t>
      </w:r>
      <w:r w:rsidRPr="0016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муниципального имущества и земельных отношений администрации муниципального района «Чернышевский район»;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 отдела строительства, архитектуры, дорожного хозяйства и транспорта администрации муниципального района «Чернышевский район».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Возложить на комиссию следующие обязанности: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решения о целесообразности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контрактами администрации муниципального района «Чернышевский район».</w:t>
      </w: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604" w:rsidRPr="001607ED" w:rsidRDefault="00A04604" w:rsidP="00A0460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31861"/>
    <w:rsid w:val="006A1838"/>
    <w:rsid w:val="006B061A"/>
    <w:rsid w:val="006F069A"/>
    <w:rsid w:val="006F1849"/>
    <w:rsid w:val="00702EA0"/>
    <w:rsid w:val="0076550D"/>
    <w:rsid w:val="00785F13"/>
    <w:rsid w:val="007D513A"/>
    <w:rsid w:val="007F43EE"/>
    <w:rsid w:val="008B057A"/>
    <w:rsid w:val="00917BD5"/>
    <w:rsid w:val="009D400D"/>
    <w:rsid w:val="00A04604"/>
    <w:rsid w:val="00A122EB"/>
    <w:rsid w:val="00AD03B5"/>
    <w:rsid w:val="00AF5E39"/>
    <w:rsid w:val="00B05ACA"/>
    <w:rsid w:val="00B5413E"/>
    <w:rsid w:val="00CC13CB"/>
    <w:rsid w:val="00C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1416</Words>
  <Characters>8073</Characters>
  <Application>Microsoft Office Word</Application>
  <DocSecurity>0</DocSecurity>
  <Lines>67</Lines>
  <Paragraphs>18</Paragraphs>
  <ScaleCrop>false</ScaleCrop>
  <Company>Grizli777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2024-01-12T02:06:00Z</dcterms:created>
  <dcterms:modified xsi:type="dcterms:W3CDTF">2024-10-07T02:06:00Z</dcterms:modified>
</cp:coreProperties>
</file>