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2A32E2" w:rsidRPr="00A55243" w:rsidRDefault="002A32E2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ЗАБАЙКАЛЬЧКОГО КРАЯ 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2A32E2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2A32E2" w:rsidRPr="002A32E2" w:rsidRDefault="002A32E2" w:rsidP="002A32E2">
      <w:pPr>
        <w:spacing w:after="200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2A32E2">
        <w:rPr>
          <w:rFonts w:eastAsia="Calibri"/>
          <w:b/>
          <w:sz w:val="28"/>
          <w:szCs w:val="28"/>
          <w:lang w:eastAsia="en-US"/>
        </w:rPr>
        <w:t xml:space="preserve">О согласии на частичную замену </w:t>
      </w:r>
      <w:proofErr w:type="gramStart"/>
      <w:r w:rsidRPr="002A32E2">
        <w:rPr>
          <w:rFonts w:eastAsia="Calibri"/>
          <w:b/>
          <w:sz w:val="28"/>
          <w:szCs w:val="28"/>
          <w:lang w:eastAsia="en-US"/>
        </w:rPr>
        <w:t>дотации  на</w:t>
      </w:r>
      <w:proofErr w:type="gramEnd"/>
      <w:r w:rsidRPr="002A32E2">
        <w:rPr>
          <w:rFonts w:eastAsia="Calibri"/>
          <w:b/>
          <w:sz w:val="28"/>
          <w:szCs w:val="28"/>
          <w:lang w:eastAsia="en-US"/>
        </w:rPr>
        <w:t xml:space="preserve"> выравнивание бюджетной  обеспеченности  Чернышевского муниципального округа  дополнительным нормативом отчислений в бюджет Чернышевского муниципального округа от налога на доходы физических лиц на 2026 год и плановый период 2027-2028 годы.</w:t>
      </w:r>
    </w:p>
    <w:p w:rsidR="002F101C" w:rsidRDefault="002F101C" w:rsidP="002F101C">
      <w:pPr>
        <w:rPr>
          <w:sz w:val="28"/>
          <w:szCs w:val="28"/>
        </w:rPr>
      </w:pPr>
    </w:p>
    <w:p w:rsidR="002A32E2" w:rsidRDefault="002A32E2" w:rsidP="002A32E2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138 Бюджетного кодекса Российской Федерации, руководствуясь статьей ____ Устава муниципального района «Чернышевский </w:t>
      </w:r>
      <w:proofErr w:type="gramStart"/>
      <w:r>
        <w:rPr>
          <w:sz w:val="28"/>
          <w:szCs w:val="28"/>
        </w:rPr>
        <w:t>район»  Совет</w:t>
      </w:r>
      <w:proofErr w:type="gramEnd"/>
      <w:r>
        <w:rPr>
          <w:sz w:val="28"/>
          <w:szCs w:val="28"/>
        </w:rPr>
        <w:t xml:space="preserve">  Чернышевского муниципального округа </w:t>
      </w:r>
      <w:r w:rsidRPr="00050F69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2A32E2" w:rsidRDefault="002A32E2" w:rsidP="002A32E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1285F">
        <w:rPr>
          <w:rFonts w:ascii="Times New Roman" w:hAnsi="Times New Roman"/>
          <w:sz w:val="28"/>
          <w:szCs w:val="28"/>
        </w:rPr>
        <w:t xml:space="preserve">Дать согласие на частичную замену дотации на выравнивание </w:t>
      </w:r>
      <w:proofErr w:type="gramStart"/>
      <w:r w:rsidRPr="0041285F">
        <w:rPr>
          <w:rFonts w:ascii="Times New Roman" w:hAnsi="Times New Roman"/>
          <w:sz w:val="28"/>
          <w:szCs w:val="28"/>
        </w:rPr>
        <w:t>бюджетной  обес</w:t>
      </w:r>
      <w:r>
        <w:rPr>
          <w:rFonts w:ascii="Times New Roman" w:hAnsi="Times New Roman"/>
          <w:sz w:val="28"/>
          <w:szCs w:val="28"/>
        </w:rPr>
        <w:t>печенности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Чернышевского муниципального округа </w:t>
      </w:r>
      <w:r w:rsidRPr="0041285F">
        <w:rPr>
          <w:rFonts w:ascii="Times New Roman" w:hAnsi="Times New Roman"/>
          <w:sz w:val="28"/>
          <w:szCs w:val="28"/>
        </w:rPr>
        <w:t xml:space="preserve"> дополнительным нормативом отчислени</w:t>
      </w:r>
      <w:r>
        <w:rPr>
          <w:rFonts w:ascii="Times New Roman" w:hAnsi="Times New Roman"/>
          <w:sz w:val="28"/>
          <w:szCs w:val="28"/>
        </w:rPr>
        <w:t>й в бюджет  Чернышевского муниципального округа</w:t>
      </w:r>
      <w:r w:rsidRPr="0041285F">
        <w:rPr>
          <w:rFonts w:ascii="Times New Roman" w:hAnsi="Times New Roman"/>
          <w:sz w:val="28"/>
          <w:szCs w:val="28"/>
        </w:rPr>
        <w:t xml:space="preserve"> от налога на доходы физических лиц на 20</w:t>
      </w:r>
      <w:r>
        <w:rPr>
          <w:rFonts w:ascii="Times New Roman" w:hAnsi="Times New Roman"/>
          <w:sz w:val="28"/>
          <w:szCs w:val="28"/>
        </w:rPr>
        <w:t xml:space="preserve">26 год и плановый период 2027-2028 </w:t>
      </w:r>
      <w:r w:rsidRPr="0041285F">
        <w:rPr>
          <w:rFonts w:ascii="Times New Roman" w:hAnsi="Times New Roman"/>
          <w:sz w:val="28"/>
          <w:szCs w:val="28"/>
        </w:rPr>
        <w:t>годы.</w:t>
      </w:r>
    </w:p>
    <w:p w:rsidR="002A32E2" w:rsidRPr="004E1E46" w:rsidRDefault="002A32E2" w:rsidP="002A32E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E1E46">
        <w:rPr>
          <w:rFonts w:ascii="Times New Roman" w:hAnsi="Times New Roman"/>
          <w:sz w:val="28"/>
          <w:szCs w:val="28"/>
        </w:rPr>
        <w:t xml:space="preserve">Настоящее решение опубликовать в общественно-политической газете Чернышевского муниципального округа Забайкальского края «Наше время» разместить на официальном сайте муниципального округа в информационно-телекоммуникационной сети «Интернет» </w:t>
      </w:r>
      <w:hyperlink r:id="rId5" w:history="1">
        <w:r w:rsidRPr="004E1E46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4E1E4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4E1E46">
          <w:rPr>
            <w:rStyle w:val="a4"/>
            <w:rFonts w:ascii="Times New Roman" w:hAnsi="Times New Roman"/>
            <w:sz w:val="28"/>
            <w:szCs w:val="28"/>
            <w:lang w:val="en-US"/>
          </w:rPr>
          <w:t>chernishev</w:t>
        </w:r>
        <w:proofErr w:type="spellEnd"/>
        <w:r w:rsidRPr="004E1E46">
          <w:rPr>
            <w:rStyle w:val="a4"/>
            <w:rFonts w:ascii="Times New Roman" w:hAnsi="Times New Roman"/>
            <w:sz w:val="28"/>
            <w:szCs w:val="28"/>
          </w:rPr>
          <w:t>.75.</w:t>
        </w:r>
        <w:proofErr w:type="spellStart"/>
        <w:r w:rsidRPr="004E1E46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E1E46">
        <w:rPr>
          <w:rFonts w:ascii="Times New Roman" w:hAnsi="Times New Roman"/>
          <w:sz w:val="28"/>
          <w:szCs w:val="28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адресам: Забайкальский </w:t>
      </w:r>
      <w:proofErr w:type="spellStart"/>
      <w:proofErr w:type="gramStart"/>
      <w:r w:rsidRPr="004E1E46">
        <w:rPr>
          <w:rFonts w:ascii="Times New Roman" w:hAnsi="Times New Roman"/>
          <w:sz w:val="28"/>
          <w:szCs w:val="28"/>
        </w:rPr>
        <w:t>край,пгт</w:t>
      </w:r>
      <w:proofErr w:type="spellEnd"/>
      <w:proofErr w:type="gramEnd"/>
      <w:r w:rsidRPr="004E1E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E1E46">
        <w:rPr>
          <w:rFonts w:ascii="Times New Roman" w:hAnsi="Times New Roman"/>
          <w:sz w:val="28"/>
          <w:szCs w:val="28"/>
        </w:rPr>
        <w:t>Жирекен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д.15; Забайкальский край, </w:t>
      </w:r>
      <w:proofErr w:type="spellStart"/>
      <w:r w:rsidRPr="004E1E46">
        <w:rPr>
          <w:rFonts w:ascii="Times New Roman" w:hAnsi="Times New Roman"/>
          <w:sz w:val="28"/>
          <w:szCs w:val="28"/>
        </w:rPr>
        <w:t>пгт.Букачача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Клубный проспект, д.1; Забайкальский </w:t>
      </w:r>
      <w:proofErr w:type="spellStart"/>
      <w:proofErr w:type="gramStart"/>
      <w:r w:rsidRPr="004E1E46">
        <w:rPr>
          <w:rFonts w:ascii="Times New Roman" w:hAnsi="Times New Roman"/>
          <w:sz w:val="28"/>
          <w:szCs w:val="28"/>
        </w:rPr>
        <w:t>край,пгт</w:t>
      </w:r>
      <w:proofErr w:type="spellEnd"/>
      <w:proofErr w:type="gramEnd"/>
      <w:r w:rsidRPr="004E1E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E1E46">
        <w:rPr>
          <w:rFonts w:ascii="Times New Roman" w:hAnsi="Times New Roman"/>
          <w:sz w:val="28"/>
          <w:szCs w:val="28"/>
        </w:rPr>
        <w:t>Аксёново-Зиловское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ул. Октябрьская, д.9; Забайкальский край, с. </w:t>
      </w:r>
      <w:proofErr w:type="spellStart"/>
      <w:r w:rsidRPr="004E1E46">
        <w:rPr>
          <w:rFonts w:ascii="Times New Roman" w:hAnsi="Times New Roman"/>
          <w:sz w:val="28"/>
          <w:szCs w:val="28"/>
        </w:rPr>
        <w:t>Алеур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ул. Кирова, д.51; Забайкальский край, с. </w:t>
      </w:r>
      <w:proofErr w:type="spellStart"/>
      <w:r w:rsidRPr="004E1E46">
        <w:rPr>
          <w:rFonts w:ascii="Times New Roman" w:hAnsi="Times New Roman"/>
          <w:sz w:val="28"/>
          <w:szCs w:val="28"/>
        </w:rPr>
        <w:t>Утан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4E1E46">
        <w:rPr>
          <w:rFonts w:ascii="Times New Roman" w:hAnsi="Times New Roman"/>
          <w:sz w:val="28"/>
          <w:szCs w:val="28"/>
        </w:rPr>
        <w:t>Олов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4E1E46">
        <w:rPr>
          <w:rFonts w:ascii="Times New Roman" w:hAnsi="Times New Roman"/>
          <w:sz w:val="28"/>
          <w:szCs w:val="28"/>
        </w:rPr>
        <w:t>Олов</w:t>
      </w:r>
      <w:proofErr w:type="spellEnd"/>
      <w:r w:rsidRPr="004E1E46">
        <w:rPr>
          <w:rFonts w:ascii="Times New Roman" w:hAnsi="Times New Roman"/>
          <w:sz w:val="28"/>
          <w:szCs w:val="28"/>
        </w:rPr>
        <w:t>, ул. Погодаева, д. 64 «</w:t>
      </w:r>
      <w:proofErr w:type="spellStart"/>
      <w:r w:rsidRPr="004E1E46">
        <w:rPr>
          <w:rFonts w:ascii="Times New Roman" w:hAnsi="Times New Roman"/>
          <w:sz w:val="28"/>
          <w:szCs w:val="28"/>
        </w:rPr>
        <w:t>а»;Забайкальский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 край, с. </w:t>
      </w:r>
      <w:proofErr w:type="spellStart"/>
      <w:r w:rsidRPr="004E1E46">
        <w:rPr>
          <w:rFonts w:ascii="Times New Roman" w:hAnsi="Times New Roman"/>
          <w:sz w:val="28"/>
          <w:szCs w:val="28"/>
        </w:rPr>
        <w:t>Укурей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4E1E46">
        <w:rPr>
          <w:rFonts w:ascii="Times New Roman" w:hAnsi="Times New Roman"/>
          <w:sz w:val="28"/>
          <w:szCs w:val="28"/>
        </w:rPr>
        <w:t>Икшица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ул. Сельская, д.2; Забайкальский край, с. </w:t>
      </w:r>
      <w:proofErr w:type="spellStart"/>
      <w:r w:rsidRPr="004E1E46">
        <w:rPr>
          <w:rFonts w:ascii="Times New Roman" w:hAnsi="Times New Roman"/>
          <w:sz w:val="28"/>
          <w:szCs w:val="28"/>
        </w:rPr>
        <w:t>Мильгидун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4E1E46">
        <w:rPr>
          <w:rFonts w:ascii="Times New Roman" w:hAnsi="Times New Roman"/>
          <w:sz w:val="28"/>
          <w:szCs w:val="28"/>
        </w:rPr>
        <w:t>Урюм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ул. Энергетиков, д. 2 копр.2; Забайкальский </w:t>
      </w:r>
      <w:r w:rsidRPr="004E1E46">
        <w:rPr>
          <w:rFonts w:ascii="Times New Roman" w:hAnsi="Times New Roman"/>
          <w:sz w:val="28"/>
          <w:szCs w:val="28"/>
        </w:rPr>
        <w:lastRenderedPageBreak/>
        <w:t xml:space="preserve">край, с. </w:t>
      </w:r>
      <w:proofErr w:type="spellStart"/>
      <w:r w:rsidRPr="004E1E46">
        <w:rPr>
          <w:rFonts w:ascii="Times New Roman" w:hAnsi="Times New Roman"/>
          <w:sz w:val="28"/>
          <w:szCs w:val="28"/>
        </w:rPr>
        <w:t>Новоильинск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Pr="004E1E46">
        <w:rPr>
          <w:rFonts w:ascii="Times New Roman" w:hAnsi="Times New Roman"/>
          <w:sz w:val="28"/>
          <w:szCs w:val="28"/>
        </w:rPr>
        <w:t>Центральная.д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. 54;Забайкальский край, с. </w:t>
      </w:r>
      <w:proofErr w:type="spellStart"/>
      <w:r w:rsidRPr="004E1E46">
        <w:rPr>
          <w:rFonts w:ascii="Times New Roman" w:hAnsi="Times New Roman"/>
          <w:sz w:val="28"/>
          <w:szCs w:val="28"/>
        </w:rPr>
        <w:t>Байгул</w:t>
      </w:r>
      <w:proofErr w:type="spellEnd"/>
      <w:r w:rsidRPr="004E1E46">
        <w:rPr>
          <w:rFonts w:ascii="Times New Roman" w:hAnsi="Times New Roman"/>
          <w:sz w:val="28"/>
          <w:szCs w:val="28"/>
        </w:rPr>
        <w:t xml:space="preserve">, ул. Молодежная, д.8;Забайкальский край, с. Бушулей, ул. Железнодорожная, д.7 корп. 8; Забайкальский край, с. </w:t>
      </w:r>
      <w:proofErr w:type="spellStart"/>
      <w:r w:rsidRPr="004E1E46">
        <w:rPr>
          <w:rFonts w:ascii="Times New Roman" w:hAnsi="Times New Roman"/>
          <w:sz w:val="28"/>
          <w:szCs w:val="28"/>
        </w:rPr>
        <w:t>Курлыч</w:t>
      </w:r>
      <w:proofErr w:type="spellEnd"/>
      <w:r w:rsidRPr="004E1E46">
        <w:rPr>
          <w:rFonts w:ascii="Times New Roman" w:hAnsi="Times New Roman"/>
          <w:sz w:val="28"/>
          <w:szCs w:val="28"/>
        </w:rPr>
        <w:t>, ул. Еланская, д.20</w:t>
      </w:r>
      <w:r>
        <w:rPr>
          <w:rFonts w:ascii="Times New Roman" w:hAnsi="Times New Roman"/>
          <w:sz w:val="28"/>
          <w:szCs w:val="28"/>
        </w:rPr>
        <w:t>.</w:t>
      </w:r>
    </w:p>
    <w:p w:rsidR="002A32E2" w:rsidRDefault="002A32E2" w:rsidP="002A32E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Совета Чернышевского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округа  вступает</w:t>
      </w:r>
      <w:proofErr w:type="gramEnd"/>
      <w:r>
        <w:rPr>
          <w:rFonts w:ascii="Times New Roman" w:hAnsi="Times New Roman"/>
          <w:sz w:val="28"/>
          <w:szCs w:val="28"/>
        </w:rPr>
        <w:t xml:space="preserve"> в силу после его официального опубликования.</w:t>
      </w: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2A32E2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p w:rsidR="002A32E2" w:rsidRDefault="002A32E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32E2" w:rsidRPr="00FE681B" w:rsidRDefault="002A32E2" w:rsidP="002A32E2">
      <w:pPr>
        <w:jc w:val="center"/>
        <w:rPr>
          <w:b/>
          <w:sz w:val="28"/>
          <w:szCs w:val="28"/>
        </w:rPr>
      </w:pPr>
      <w:r w:rsidRPr="005F0F2C">
        <w:rPr>
          <w:b/>
          <w:sz w:val="28"/>
          <w:szCs w:val="28"/>
        </w:rPr>
        <w:lastRenderedPageBreak/>
        <w:t xml:space="preserve">ПОЯСНИТЕЛЬНАЯ ЗАПИСКА К ПРОЕКТУ РЕШЕНИЯ СОВЕТА </w:t>
      </w:r>
      <w:r>
        <w:rPr>
          <w:b/>
          <w:sz w:val="28"/>
          <w:szCs w:val="28"/>
        </w:rPr>
        <w:t>ЧЕРНЫШЕВСКОГО МУНИЦИПАЛЬНОГО ОКРУГА</w:t>
      </w:r>
    </w:p>
    <w:p w:rsidR="002A32E2" w:rsidRDefault="002A32E2" w:rsidP="002A32E2">
      <w:pPr>
        <w:jc w:val="center"/>
        <w:rPr>
          <w:sz w:val="28"/>
          <w:szCs w:val="28"/>
        </w:rPr>
      </w:pPr>
      <w:r w:rsidRPr="00FE681B">
        <w:rPr>
          <w:sz w:val="28"/>
          <w:szCs w:val="28"/>
        </w:rPr>
        <w:t xml:space="preserve">«О согласии на частичную замену дотации на выравнивание бюджетной обеспеченности </w:t>
      </w:r>
      <w:r>
        <w:rPr>
          <w:sz w:val="28"/>
          <w:szCs w:val="28"/>
        </w:rPr>
        <w:t xml:space="preserve">Чернышевского муниципального округа </w:t>
      </w:r>
      <w:r w:rsidRPr="00FE681B">
        <w:rPr>
          <w:sz w:val="28"/>
          <w:szCs w:val="28"/>
        </w:rPr>
        <w:t xml:space="preserve">дополнительным нормативом </w:t>
      </w:r>
      <w:proofErr w:type="gramStart"/>
      <w:r w:rsidRPr="00FE681B">
        <w:rPr>
          <w:sz w:val="28"/>
          <w:szCs w:val="28"/>
        </w:rPr>
        <w:t>отчислений  от</w:t>
      </w:r>
      <w:proofErr w:type="gramEnd"/>
      <w:r w:rsidRPr="00FE681B">
        <w:rPr>
          <w:sz w:val="28"/>
          <w:szCs w:val="28"/>
        </w:rPr>
        <w:t xml:space="preserve"> налога на доходы физических лиц в бюджет </w:t>
      </w:r>
      <w:r>
        <w:rPr>
          <w:sz w:val="28"/>
          <w:szCs w:val="28"/>
        </w:rPr>
        <w:t xml:space="preserve">Чернышевского </w:t>
      </w:r>
      <w:r w:rsidRPr="00FE681B">
        <w:rPr>
          <w:sz w:val="28"/>
          <w:szCs w:val="28"/>
        </w:rPr>
        <w:t>муниципаль</w:t>
      </w:r>
      <w:r>
        <w:rPr>
          <w:sz w:val="28"/>
          <w:szCs w:val="28"/>
        </w:rPr>
        <w:t>ного округа</w:t>
      </w:r>
      <w:r w:rsidRPr="00FE68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плановый период 2027-2028 </w:t>
      </w:r>
      <w:r w:rsidRPr="00FE681B">
        <w:rPr>
          <w:sz w:val="28"/>
          <w:szCs w:val="28"/>
        </w:rPr>
        <w:t>годы</w:t>
      </w:r>
      <w:r>
        <w:rPr>
          <w:sz w:val="28"/>
          <w:szCs w:val="28"/>
        </w:rPr>
        <w:t>»</w:t>
      </w:r>
    </w:p>
    <w:p w:rsidR="002A32E2" w:rsidRPr="00FE681B" w:rsidRDefault="002A32E2" w:rsidP="002A32E2">
      <w:pPr>
        <w:jc w:val="center"/>
        <w:rPr>
          <w:sz w:val="28"/>
          <w:szCs w:val="28"/>
        </w:rPr>
      </w:pPr>
    </w:p>
    <w:p w:rsidR="002A32E2" w:rsidRPr="00FE681B" w:rsidRDefault="002A32E2" w:rsidP="002A32E2">
      <w:pPr>
        <w:ind w:firstLine="708"/>
        <w:jc w:val="both"/>
        <w:rPr>
          <w:sz w:val="28"/>
          <w:szCs w:val="28"/>
        </w:rPr>
      </w:pPr>
      <w:r w:rsidRPr="00FE681B">
        <w:rPr>
          <w:sz w:val="28"/>
          <w:szCs w:val="28"/>
        </w:rPr>
        <w:t xml:space="preserve">Порядок и методика распределения дотаций на выравнивание бюджетной обеспеченности муниципальных районов,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бюджеты, а также порядок определения критерия выравнивания расчетной бюджетной обеспеченности муниципальных районов утверждаются законом субъекта Российской Федерации в соответствии с требованиями </w:t>
      </w:r>
      <w:proofErr w:type="gramStart"/>
      <w:r w:rsidRPr="00FE681B">
        <w:rPr>
          <w:sz w:val="28"/>
          <w:szCs w:val="28"/>
        </w:rPr>
        <w:t>Бюджетного  Кодекса</w:t>
      </w:r>
      <w:proofErr w:type="gramEnd"/>
      <w:r w:rsidRPr="00FE681B">
        <w:rPr>
          <w:sz w:val="28"/>
          <w:szCs w:val="28"/>
        </w:rPr>
        <w:t xml:space="preserve">.    </w:t>
      </w:r>
    </w:p>
    <w:p w:rsidR="002A32E2" w:rsidRPr="00FE681B" w:rsidRDefault="002A32E2" w:rsidP="002A32E2">
      <w:pPr>
        <w:jc w:val="both"/>
        <w:rPr>
          <w:sz w:val="28"/>
          <w:szCs w:val="28"/>
        </w:rPr>
      </w:pPr>
      <w:r w:rsidRPr="00FE681B">
        <w:rPr>
          <w:sz w:val="28"/>
          <w:szCs w:val="28"/>
        </w:rPr>
        <w:t xml:space="preserve">    </w:t>
      </w:r>
      <w:r w:rsidRPr="00FE681B">
        <w:rPr>
          <w:sz w:val="28"/>
          <w:szCs w:val="28"/>
        </w:rPr>
        <w:tab/>
        <w:t xml:space="preserve">При составлении 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</w:t>
      </w:r>
      <w:proofErr w:type="gramStart"/>
      <w:r w:rsidRPr="00FE681B">
        <w:rPr>
          <w:sz w:val="28"/>
          <w:szCs w:val="28"/>
        </w:rPr>
        <w:t>районов  могут</w:t>
      </w:r>
      <w:proofErr w:type="gramEnd"/>
      <w:r w:rsidRPr="00FE681B">
        <w:rPr>
          <w:sz w:val="28"/>
          <w:szCs w:val="28"/>
        </w:rPr>
        <w:t xml:space="preserve"> быть полностью или частично заменены дополнительными нормативами отчислений в бюджеты муниципальных районов  от налога на доходы физических лиц. </w:t>
      </w:r>
    </w:p>
    <w:p w:rsidR="002A32E2" w:rsidRPr="00FE681B" w:rsidRDefault="002A32E2" w:rsidP="002A32E2">
      <w:pPr>
        <w:jc w:val="both"/>
        <w:rPr>
          <w:sz w:val="28"/>
          <w:szCs w:val="28"/>
        </w:rPr>
      </w:pPr>
      <w:r w:rsidRPr="00FE681B">
        <w:rPr>
          <w:sz w:val="28"/>
          <w:szCs w:val="28"/>
        </w:rPr>
        <w:t xml:space="preserve">   </w:t>
      </w:r>
      <w:r w:rsidRPr="00FE681B">
        <w:rPr>
          <w:sz w:val="28"/>
          <w:szCs w:val="28"/>
        </w:rPr>
        <w:tab/>
        <w:t xml:space="preserve">Указанный дополнительный норматив рассчитывается как отношение расчетного объема </w:t>
      </w:r>
      <w:proofErr w:type="gramStart"/>
      <w:r w:rsidRPr="00FE681B">
        <w:rPr>
          <w:sz w:val="28"/>
          <w:szCs w:val="28"/>
        </w:rPr>
        <w:t>дотации  муниципальному</w:t>
      </w:r>
      <w:proofErr w:type="gramEnd"/>
      <w:r w:rsidRPr="00FE681B">
        <w:rPr>
          <w:sz w:val="28"/>
          <w:szCs w:val="28"/>
        </w:rPr>
        <w:t xml:space="preserve"> району  к прогнозируемому в соответствии с единой методикой объему налога на доходы физических лиц.</w:t>
      </w:r>
    </w:p>
    <w:p w:rsidR="002A32E2" w:rsidRPr="00FE681B" w:rsidRDefault="002A32E2" w:rsidP="002A32E2">
      <w:pPr>
        <w:jc w:val="both"/>
        <w:rPr>
          <w:sz w:val="28"/>
          <w:szCs w:val="28"/>
        </w:rPr>
      </w:pPr>
      <w:r w:rsidRPr="00FE681B">
        <w:rPr>
          <w:sz w:val="28"/>
          <w:szCs w:val="28"/>
        </w:rPr>
        <w:t xml:space="preserve">   </w:t>
      </w:r>
      <w:r w:rsidRPr="00FE681B">
        <w:rPr>
          <w:sz w:val="28"/>
          <w:szCs w:val="28"/>
        </w:rPr>
        <w:tab/>
        <w:t>Дополнительные нормативы отчислений от налога на доходы физических лиц устанавливаются на срок не менее трех лет. Изменение указанных нормативов отчислений в бюджеты муниципальных районов в течение текущего финансового года не допускается.</w:t>
      </w:r>
    </w:p>
    <w:p w:rsidR="002A32E2" w:rsidRPr="00FE681B" w:rsidRDefault="002A32E2" w:rsidP="002A32E2">
      <w:pPr>
        <w:jc w:val="both"/>
        <w:rPr>
          <w:sz w:val="28"/>
          <w:szCs w:val="28"/>
        </w:rPr>
      </w:pPr>
      <w:r w:rsidRPr="00FE681B">
        <w:rPr>
          <w:sz w:val="28"/>
          <w:szCs w:val="28"/>
        </w:rPr>
        <w:t xml:space="preserve">  </w:t>
      </w:r>
      <w:r w:rsidRPr="00FE681B">
        <w:rPr>
          <w:sz w:val="28"/>
          <w:szCs w:val="28"/>
        </w:rPr>
        <w:tab/>
        <w:t>Средства, полученные муниципальным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муниципальных районов, изъятию в бюджет субъекта Российской Федерации и учету при последующем распределении межбюджетных трансфертов местным бюджетам не подлежат.</w:t>
      </w:r>
    </w:p>
    <w:p w:rsidR="002A32E2" w:rsidRPr="00FE681B" w:rsidRDefault="002A32E2" w:rsidP="002A32E2">
      <w:pPr>
        <w:jc w:val="both"/>
        <w:rPr>
          <w:sz w:val="28"/>
          <w:szCs w:val="28"/>
        </w:rPr>
      </w:pPr>
      <w:r w:rsidRPr="00FE681B">
        <w:rPr>
          <w:sz w:val="28"/>
          <w:szCs w:val="28"/>
        </w:rPr>
        <w:t xml:space="preserve">   </w:t>
      </w:r>
      <w:r w:rsidRPr="00FE681B">
        <w:rPr>
          <w:sz w:val="28"/>
          <w:szCs w:val="28"/>
        </w:rPr>
        <w:tab/>
        <w:t xml:space="preserve">Потери бюджета муниципального района в связи с получением средств по дополнительному нормативу отчислений от налога на доходы физических лиц ниже расчетного объема </w:t>
      </w:r>
      <w:proofErr w:type="gramStart"/>
      <w:r w:rsidRPr="00FE681B">
        <w:rPr>
          <w:sz w:val="28"/>
          <w:szCs w:val="28"/>
        </w:rPr>
        <w:t>дотации  на</w:t>
      </w:r>
      <w:proofErr w:type="gramEnd"/>
      <w:r w:rsidRPr="00FE681B">
        <w:rPr>
          <w:sz w:val="28"/>
          <w:szCs w:val="28"/>
        </w:rPr>
        <w:t xml:space="preserve"> выравнивание бюджетной обеспеченности муниципальных районов компенсации из бюджета субъекта Российской Федерации и учету при последующем распределении межбюджетных трансфертов местным бюджетам не подлежат.</w:t>
      </w:r>
    </w:p>
    <w:p w:rsidR="002A32E2" w:rsidRPr="00BF2EF7" w:rsidRDefault="002A32E2" w:rsidP="002A32E2">
      <w:pPr>
        <w:ind w:firstLine="708"/>
        <w:jc w:val="both"/>
        <w:rPr>
          <w:sz w:val="28"/>
          <w:szCs w:val="28"/>
        </w:rPr>
      </w:pPr>
      <w:r w:rsidRPr="00BF2EF7">
        <w:rPr>
          <w:sz w:val="28"/>
          <w:szCs w:val="28"/>
        </w:rPr>
        <w:t>Налог на доходы физи</w:t>
      </w:r>
      <w:r>
        <w:rPr>
          <w:sz w:val="28"/>
          <w:szCs w:val="28"/>
        </w:rPr>
        <w:t xml:space="preserve">ческих лиц рассчитывается на основании статистической налоговой отчетности 5-НДФЛ за отчетный 2024 год. Также при расчете налога на доходы физических </w:t>
      </w:r>
      <w:proofErr w:type="gramStart"/>
      <w:r>
        <w:rPr>
          <w:sz w:val="28"/>
          <w:szCs w:val="28"/>
        </w:rPr>
        <w:t>лиц  используются</w:t>
      </w:r>
      <w:proofErr w:type="gramEnd"/>
      <w:r>
        <w:rPr>
          <w:sz w:val="28"/>
          <w:szCs w:val="28"/>
        </w:rPr>
        <w:t xml:space="preserve"> данные </w:t>
      </w:r>
      <w:r w:rsidRPr="00BF2EF7">
        <w:rPr>
          <w:sz w:val="28"/>
          <w:szCs w:val="28"/>
        </w:rPr>
        <w:t xml:space="preserve"> защищенного фонда оплаты труда Отделом экономики, труда и </w:t>
      </w:r>
      <w:r w:rsidRPr="00BF2EF7">
        <w:rPr>
          <w:sz w:val="28"/>
          <w:szCs w:val="28"/>
        </w:rPr>
        <w:lastRenderedPageBreak/>
        <w:t xml:space="preserve">инвестиционной политики </w:t>
      </w:r>
      <w:r>
        <w:rPr>
          <w:sz w:val="28"/>
          <w:szCs w:val="28"/>
        </w:rPr>
        <w:t xml:space="preserve">администрации муниципального района «Чернышевский район» </w:t>
      </w:r>
      <w:r w:rsidRPr="00BF2EF7">
        <w:rPr>
          <w:sz w:val="28"/>
          <w:szCs w:val="28"/>
        </w:rPr>
        <w:t>(фонд защищается после проведенного экономического анализа, где учитывается развитие муниципального района, рост или снижение зарабо</w:t>
      </w:r>
      <w:r>
        <w:rPr>
          <w:sz w:val="28"/>
          <w:szCs w:val="28"/>
        </w:rPr>
        <w:t>тной платы населения, миграция).</w:t>
      </w:r>
    </w:p>
    <w:p w:rsidR="002A32E2" w:rsidRDefault="002A32E2" w:rsidP="002A32E2">
      <w:pPr>
        <w:ind w:firstLine="708"/>
        <w:jc w:val="both"/>
        <w:rPr>
          <w:sz w:val="28"/>
          <w:szCs w:val="28"/>
        </w:rPr>
      </w:pPr>
      <w:r w:rsidRPr="00B305F7">
        <w:rPr>
          <w:sz w:val="28"/>
          <w:szCs w:val="28"/>
        </w:rPr>
        <w:t xml:space="preserve">По Справкам основных показателей социально- экономического </w:t>
      </w:r>
      <w:proofErr w:type="gramStart"/>
      <w:r w:rsidRPr="00B305F7">
        <w:rPr>
          <w:sz w:val="28"/>
          <w:szCs w:val="28"/>
        </w:rPr>
        <w:t>развития  для</w:t>
      </w:r>
      <w:proofErr w:type="gramEnd"/>
      <w:r w:rsidRPr="00B305F7">
        <w:rPr>
          <w:sz w:val="28"/>
          <w:szCs w:val="28"/>
        </w:rPr>
        <w:t xml:space="preserve"> обоснования бюджета на 2026 год и плановые периоды 2027-2028 годов планируется темп роста по фонду заработной платы работников организаций (2026г.- 11,6%, 2027г.- 9,9%, 2028г.- 8,1%).</w:t>
      </w:r>
      <w:r w:rsidRPr="00BF2EF7">
        <w:rPr>
          <w:sz w:val="28"/>
          <w:szCs w:val="28"/>
        </w:rPr>
        <w:t xml:space="preserve"> </w:t>
      </w:r>
    </w:p>
    <w:p w:rsidR="002A32E2" w:rsidRPr="00BF2EF7" w:rsidRDefault="002A32E2" w:rsidP="002A32E2">
      <w:pPr>
        <w:ind w:firstLine="708"/>
        <w:jc w:val="both"/>
        <w:rPr>
          <w:sz w:val="28"/>
          <w:szCs w:val="28"/>
        </w:rPr>
      </w:pPr>
      <w:r w:rsidRPr="00BF2EF7">
        <w:rPr>
          <w:sz w:val="28"/>
          <w:szCs w:val="28"/>
        </w:rPr>
        <w:t>Соответственно, налог на доходы физических лиц рассчитывается по основным показателям социально- экономического развития</w:t>
      </w:r>
      <w:r>
        <w:rPr>
          <w:sz w:val="28"/>
          <w:szCs w:val="28"/>
        </w:rPr>
        <w:t xml:space="preserve"> с учетом темпа роста</w:t>
      </w:r>
      <w:r w:rsidRPr="00BF2EF7">
        <w:rPr>
          <w:sz w:val="28"/>
          <w:szCs w:val="28"/>
        </w:rPr>
        <w:t xml:space="preserve">. Министерство финансов Забайкальского края </w:t>
      </w:r>
      <w:r>
        <w:rPr>
          <w:sz w:val="28"/>
          <w:szCs w:val="28"/>
        </w:rPr>
        <w:t xml:space="preserve">при расчете объема дотации на выравнивание </w:t>
      </w:r>
      <w:r w:rsidRPr="00BF2EF7">
        <w:rPr>
          <w:sz w:val="28"/>
          <w:szCs w:val="28"/>
        </w:rPr>
        <w:t>также учитывает вышеуказанные показатели.</w:t>
      </w:r>
    </w:p>
    <w:p w:rsidR="002A32E2" w:rsidRDefault="002A32E2" w:rsidP="002A32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Комитетом по финансам администрации муниципального района «Чернышевский район» проведен анализ поступления НДФЛ в бюджет в течение 2-х лет и оценка поступлений в 2025 году. </w:t>
      </w:r>
    </w:p>
    <w:p w:rsidR="002A32E2" w:rsidRPr="000D0A94" w:rsidRDefault="002A32E2" w:rsidP="002A32E2">
      <w:pPr>
        <w:jc w:val="both"/>
        <w:rPr>
          <w:sz w:val="28"/>
          <w:szCs w:val="28"/>
        </w:rPr>
      </w:pPr>
      <w:r w:rsidRPr="00BF2EF7">
        <w:rPr>
          <w:sz w:val="28"/>
          <w:szCs w:val="28"/>
        </w:rPr>
        <w:tab/>
      </w:r>
      <w:r w:rsidRPr="000D0A94">
        <w:rPr>
          <w:sz w:val="28"/>
          <w:szCs w:val="28"/>
        </w:rPr>
        <w:t>Анализируя фактическое поступление за 2023 год по налогу на доходы физических лиц наблюдается перевыполнение плана. В результате сверх доведенного дополнительного норматива от НДФЛ в бюджет поступило   39 </w:t>
      </w:r>
      <w:proofErr w:type="gramStart"/>
      <w:r w:rsidRPr="000D0A94">
        <w:rPr>
          <w:sz w:val="28"/>
          <w:szCs w:val="28"/>
        </w:rPr>
        <w:t>035,7тыс.руб.</w:t>
      </w:r>
      <w:proofErr w:type="gramEnd"/>
    </w:p>
    <w:p w:rsidR="002A32E2" w:rsidRPr="000D0A94" w:rsidRDefault="002A32E2" w:rsidP="002A32E2">
      <w:pPr>
        <w:ind w:firstLine="708"/>
        <w:jc w:val="both"/>
        <w:rPr>
          <w:sz w:val="28"/>
          <w:szCs w:val="28"/>
        </w:rPr>
      </w:pPr>
      <w:r w:rsidRPr="000D0A94">
        <w:rPr>
          <w:sz w:val="28"/>
          <w:szCs w:val="28"/>
        </w:rPr>
        <w:t>Анализируя фактическое поступление за 2024 год по налогу на доходы физических лиц наблюдается перевыполнение плана. В результате сверх доведенного дополнительного норматива от НДФЛ в бюджет поступило 5 </w:t>
      </w:r>
      <w:proofErr w:type="gramStart"/>
      <w:r w:rsidRPr="000D0A94">
        <w:rPr>
          <w:sz w:val="28"/>
          <w:szCs w:val="28"/>
        </w:rPr>
        <w:t>769,7тыс.руб.</w:t>
      </w:r>
      <w:proofErr w:type="gramEnd"/>
    </w:p>
    <w:p w:rsidR="002A32E2" w:rsidRPr="008237BE" w:rsidRDefault="002A32E2" w:rsidP="002A32E2">
      <w:pPr>
        <w:ind w:firstLine="708"/>
        <w:jc w:val="both"/>
        <w:rPr>
          <w:sz w:val="28"/>
          <w:szCs w:val="28"/>
        </w:rPr>
      </w:pPr>
      <w:r w:rsidRPr="000D0A94">
        <w:rPr>
          <w:sz w:val="28"/>
          <w:szCs w:val="28"/>
        </w:rPr>
        <w:t>Наблюдается положительная</w:t>
      </w:r>
      <w:r w:rsidRPr="0019304A">
        <w:rPr>
          <w:sz w:val="28"/>
          <w:szCs w:val="28"/>
        </w:rPr>
        <w:t xml:space="preserve"> динамика исполнения НДФЛ.</w:t>
      </w:r>
    </w:p>
    <w:p w:rsidR="002A32E2" w:rsidRPr="008237BE" w:rsidRDefault="002A32E2" w:rsidP="002A32E2">
      <w:pPr>
        <w:ind w:firstLine="708"/>
        <w:jc w:val="both"/>
        <w:rPr>
          <w:sz w:val="28"/>
          <w:szCs w:val="28"/>
        </w:rPr>
      </w:pPr>
    </w:p>
    <w:p w:rsidR="002A32E2" w:rsidRPr="008237BE" w:rsidRDefault="002A32E2" w:rsidP="002A32E2">
      <w:pPr>
        <w:ind w:firstLine="708"/>
        <w:jc w:val="both"/>
        <w:rPr>
          <w:sz w:val="28"/>
          <w:szCs w:val="28"/>
        </w:rPr>
      </w:pPr>
      <w:r w:rsidRPr="008237BE">
        <w:rPr>
          <w:sz w:val="28"/>
          <w:szCs w:val="28"/>
        </w:rPr>
        <w:t>Плановые поступления налога на доходы физических лиц:</w:t>
      </w:r>
    </w:p>
    <w:p w:rsidR="002A32E2" w:rsidRPr="00B463B1" w:rsidRDefault="002A32E2" w:rsidP="002A32E2">
      <w:pPr>
        <w:ind w:firstLine="708"/>
        <w:jc w:val="both"/>
        <w:rPr>
          <w:sz w:val="28"/>
          <w:szCs w:val="28"/>
        </w:rPr>
      </w:pPr>
      <w:r w:rsidRPr="00B463B1">
        <w:rPr>
          <w:sz w:val="28"/>
          <w:szCs w:val="28"/>
        </w:rPr>
        <w:t xml:space="preserve">- на </w:t>
      </w:r>
      <w:r w:rsidRPr="00B463B1">
        <w:rPr>
          <w:b/>
          <w:sz w:val="28"/>
          <w:szCs w:val="28"/>
        </w:rPr>
        <w:t>2026 год</w:t>
      </w:r>
      <w:r w:rsidRPr="00B463B1">
        <w:rPr>
          <w:sz w:val="28"/>
          <w:szCs w:val="28"/>
        </w:rPr>
        <w:t xml:space="preserve"> составляют в размере 627 048,0 </w:t>
      </w:r>
      <w:proofErr w:type="spellStart"/>
      <w:r w:rsidRPr="00B463B1">
        <w:rPr>
          <w:sz w:val="28"/>
          <w:szCs w:val="28"/>
        </w:rPr>
        <w:t>тыс.руб</w:t>
      </w:r>
      <w:proofErr w:type="spellEnd"/>
      <w:r w:rsidRPr="00B463B1">
        <w:rPr>
          <w:sz w:val="28"/>
          <w:szCs w:val="28"/>
        </w:rPr>
        <w:t xml:space="preserve">. </w:t>
      </w:r>
      <w:proofErr w:type="gramStart"/>
      <w:r w:rsidRPr="00B463B1">
        <w:rPr>
          <w:sz w:val="28"/>
          <w:szCs w:val="28"/>
        </w:rPr>
        <w:t>( в</w:t>
      </w:r>
      <w:proofErr w:type="gramEnd"/>
      <w:r w:rsidRPr="00B463B1">
        <w:rPr>
          <w:sz w:val="28"/>
          <w:szCs w:val="28"/>
        </w:rPr>
        <w:t xml:space="preserve"> том числе сумма по доп. нормативу –392 491,4тыс.руб.);</w:t>
      </w:r>
    </w:p>
    <w:p w:rsidR="002A32E2" w:rsidRPr="00B463B1" w:rsidRDefault="002A32E2" w:rsidP="002A32E2">
      <w:pPr>
        <w:ind w:firstLine="708"/>
        <w:jc w:val="both"/>
        <w:rPr>
          <w:sz w:val="28"/>
          <w:szCs w:val="28"/>
        </w:rPr>
      </w:pPr>
      <w:r w:rsidRPr="00B463B1">
        <w:rPr>
          <w:sz w:val="28"/>
          <w:szCs w:val="28"/>
        </w:rPr>
        <w:t xml:space="preserve">- на </w:t>
      </w:r>
      <w:r w:rsidRPr="00B463B1">
        <w:rPr>
          <w:b/>
          <w:sz w:val="28"/>
          <w:szCs w:val="28"/>
        </w:rPr>
        <w:t>2027 год</w:t>
      </w:r>
      <w:r w:rsidRPr="00B463B1">
        <w:rPr>
          <w:sz w:val="28"/>
          <w:szCs w:val="28"/>
        </w:rPr>
        <w:t xml:space="preserve"> составляют в </w:t>
      </w:r>
      <w:proofErr w:type="gramStart"/>
      <w:r w:rsidRPr="00B463B1">
        <w:rPr>
          <w:sz w:val="28"/>
          <w:szCs w:val="28"/>
        </w:rPr>
        <w:t>сумме  689</w:t>
      </w:r>
      <w:proofErr w:type="gramEnd"/>
      <w:r w:rsidRPr="00B463B1">
        <w:rPr>
          <w:sz w:val="28"/>
          <w:szCs w:val="28"/>
        </w:rPr>
        <w:t> 125,8руб. (в том числе сумма по доп. нормативу – 444 175,9тыс.руб.);</w:t>
      </w:r>
    </w:p>
    <w:p w:rsidR="002A32E2" w:rsidRPr="008237BE" w:rsidRDefault="002A32E2" w:rsidP="002A32E2">
      <w:pPr>
        <w:ind w:firstLine="708"/>
        <w:jc w:val="both"/>
        <w:rPr>
          <w:sz w:val="28"/>
          <w:szCs w:val="28"/>
        </w:rPr>
      </w:pPr>
      <w:r w:rsidRPr="00B463B1">
        <w:rPr>
          <w:sz w:val="28"/>
          <w:szCs w:val="28"/>
        </w:rPr>
        <w:t xml:space="preserve">- на </w:t>
      </w:r>
      <w:r w:rsidRPr="00B463B1">
        <w:rPr>
          <w:b/>
          <w:sz w:val="28"/>
          <w:szCs w:val="28"/>
        </w:rPr>
        <w:t>2028 год</w:t>
      </w:r>
      <w:r w:rsidRPr="00B463B1">
        <w:rPr>
          <w:sz w:val="28"/>
          <w:szCs w:val="28"/>
        </w:rPr>
        <w:t xml:space="preserve"> составляют в </w:t>
      </w:r>
      <w:proofErr w:type="gramStart"/>
      <w:r w:rsidRPr="00B463B1">
        <w:rPr>
          <w:sz w:val="28"/>
          <w:szCs w:val="28"/>
        </w:rPr>
        <w:t>сумме  744</w:t>
      </w:r>
      <w:proofErr w:type="gramEnd"/>
      <w:r w:rsidRPr="00B463B1">
        <w:rPr>
          <w:sz w:val="28"/>
          <w:szCs w:val="28"/>
        </w:rPr>
        <w:t> 944,9руб. (в том числе сумма по доп. нормативу –480 154,1тыс.руб.).</w:t>
      </w:r>
    </w:p>
    <w:p w:rsidR="002A32E2" w:rsidRPr="008237BE" w:rsidRDefault="002A32E2" w:rsidP="002A32E2">
      <w:pPr>
        <w:ind w:firstLine="708"/>
        <w:jc w:val="both"/>
        <w:rPr>
          <w:sz w:val="28"/>
          <w:szCs w:val="28"/>
        </w:rPr>
      </w:pPr>
    </w:p>
    <w:p w:rsidR="002A32E2" w:rsidRPr="00124B8F" w:rsidRDefault="002A32E2" w:rsidP="002A32E2">
      <w:pPr>
        <w:ind w:firstLine="708"/>
        <w:jc w:val="both"/>
        <w:rPr>
          <w:sz w:val="28"/>
          <w:szCs w:val="28"/>
        </w:rPr>
      </w:pPr>
      <w:r w:rsidRPr="00124B8F">
        <w:rPr>
          <w:sz w:val="28"/>
          <w:szCs w:val="28"/>
        </w:rPr>
        <w:t xml:space="preserve">При расчете налога на доходы физических лиц применен дополнительный норматив отчислений, </w:t>
      </w:r>
      <w:proofErr w:type="gramStart"/>
      <w:r w:rsidRPr="00124B8F">
        <w:rPr>
          <w:sz w:val="28"/>
          <w:szCs w:val="28"/>
        </w:rPr>
        <w:t>установленный  приложением</w:t>
      </w:r>
      <w:proofErr w:type="gramEnd"/>
      <w:r w:rsidRPr="00124B8F">
        <w:rPr>
          <w:sz w:val="28"/>
          <w:szCs w:val="28"/>
        </w:rPr>
        <w:t xml:space="preserve"> № 5 к Закону Забайкальского </w:t>
      </w:r>
      <w:r w:rsidRPr="0019304A">
        <w:rPr>
          <w:sz w:val="28"/>
          <w:szCs w:val="28"/>
        </w:rPr>
        <w:t>края от 2</w:t>
      </w:r>
      <w:r>
        <w:rPr>
          <w:sz w:val="28"/>
          <w:szCs w:val="28"/>
        </w:rPr>
        <w:t>4</w:t>
      </w:r>
      <w:r w:rsidRPr="0019304A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19304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2446</w:t>
      </w:r>
      <w:r w:rsidRPr="0019304A">
        <w:rPr>
          <w:sz w:val="28"/>
          <w:szCs w:val="28"/>
        </w:rPr>
        <w:t>-ЗЗК «</w:t>
      </w:r>
      <w:r w:rsidRPr="00124B8F">
        <w:rPr>
          <w:sz w:val="28"/>
          <w:szCs w:val="28"/>
        </w:rPr>
        <w:t>О бюджете Забайкальского края на 202</w:t>
      </w:r>
      <w:r>
        <w:rPr>
          <w:sz w:val="28"/>
          <w:szCs w:val="28"/>
        </w:rPr>
        <w:t>5</w:t>
      </w:r>
      <w:r w:rsidRPr="00124B8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124B8F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124B8F">
        <w:rPr>
          <w:sz w:val="28"/>
          <w:szCs w:val="28"/>
        </w:rPr>
        <w:t xml:space="preserve">гг.». </w:t>
      </w:r>
    </w:p>
    <w:p w:rsidR="002A32E2" w:rsidRPr="00124B8F" w:rsidRDefault="002A32E2" w:rsidP="002A32E2">
      <w:pPr>
        <w:ind w:firstLine="708"/>
        <w:jc w:val="both"/>
        <w:rPr>
          <w:sz w:val="28"/>
          <w:szCs w:val="28"/>
        </w:rPr>
      </w:pPr>
      <w:r w:rsidRPr="00124B8F">
        <w:rPr>
          <w:sz w:val="28"/>
          <w:szCs w:val="28"/>
        </w:rPr>
        <w:t>Норматив отчислений по муниципальному району составил в размере:</w:t>
      </w:r>
    </w:p>
    <w:p w:rsidR="002A32E2" w:rsidRPr="00124B8F" w:rsidRDefault="002A32E2" w:rsidP="002A32E2">
      <w:pPr>
        <w:jc w:val="both"/>
        <w:rPr>
          <w:sz w:val="28"/>
          <w:szCs w:val="28"/>
        </w:rPr>
      </w:pPr>
      <w:r w:rsidRPr="00124B8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24B8F">
        <w:rPr>
          <w:sz w:val="28"/>
          <w:szCs w:val="28"/>
        </w:rPr>
        <w:t xml:space="preserve"> год- </w:t>
      </w:r>
      <w:r>
        <w:rPr>
          <w:sz w:val="28"/>
          <w:szCs w:val="28"/>
        </w:rPr>
        <w:t>40,1</w:t>
      </w:r>
      <w:r w:rsidRPr="00124B8F">
        <w:rPr>
          <w:sz w:val="28"/>
          <w:szCs w:val="28"/>
        </w:rPr>
        <w:t>%;</w:t>
      </w:r>
    </w:p>
    <w:p w:rsidR="002A32E2" w:rsidRPr="00124B8F" w:rsidRDefault="002A32E2" w:rsidP="002A32E2">
      <w:pPr>
        <w:jc w:val="both"/>
        <w:rPr>
          <w:sz w:val="28"/>
          <w:szCs w:val="28"/>
        </w:rPr>
      </w:pPr>
      <w:r w:rsidRPr="00124B8F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124B8F">
        <w:rPr>
          <w:sz w:val="28"/>
          <w:szCs w:val="28"/>
        </w:rPr>
        <w:t xml:space="preserve"> год -</w:t>
      </w:r>
      <w:r>
        <w:rPr>
          <w:sz w:val="28"/>
          <w:szCs w:val="28"/>
        </w:rPr>
        <w:t>42,2</w:t>
      </w:r>
      <w:r w:rsidRPr="00124B8F">
        <w:rPr>
          <w:sz w:val="28"/>
          <w:szCs w:val="28"/>
        </w:rPr>
        <w:t>%;</w:t>
      </w:r>
    </w:p>
    <w:p w:rsidR="002A32E2" w:rsidRPr="00124B8F" w:rsidRDefault="002A32E2" w:rsidP="002A32E2">
      <w:pPr>
        <w:jc w:val="both"/>
        <w:rPr>
          <w:sz w:val="28"/>
          <w:szCs w:val="28"/>
        </w:rPr>
      </w:pPr>
      <w:r>
        <w:rPr>
          <w:sz w:val="28"/>
          <w:szCs w:val="28"/>
        </w:rPr>
        <w:t>2028 год -42,2%.</w:t>
      </w:r>
    </w:p>
    <w:p w:rsidR="002A32E2" w:rsidRDefault="002A32E2" w:rsidP="002A32E2">
      <w:pPr>
        <w:ind w:firstLine="708"/>
        <w:jc w:val="both"/>
        <w:rPr>
          <w:sz w:val="28"/>
          <w:szCs w:val="28"/>
        </w:rPr>
      </w:pPr>
    </w:p>
    <w:p w:rsidR="002A32E2" w:rsidRDefault="002A32E2" w:rsidP="002A32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Установленный дополнительный норматив дает право ежедневно получать собственные доходы   больше, чем утверждены   Бюджетным </w:t>
      </w:r>
      <w:r>
        <w:rPr>
          <w:sz w:val="28"/>
          <w:szCs w:val="28"/>
        </w:rPr>
        <w:lastRenderedPageBreak/>
        <w:t>кодексом РФ. Собственные доходы направляются на обеспечение выполнения расходных полномочий районного бюджета.</w:t>
      </w:r>
    </w:p>
    <w:p w:rsidR="002A32E2" w:rsidRDefault="002A32E2" w:rsidP="002A32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Дотация на выравнивание бюджетной обеспеченности предоставляется на основании Соглашения по осуществлению мер, направленных на снижение уровня </w:t>
      </w:r>
      <w:proofErr w:type="spellStart"/>
      <w:r>
        <w:rPr>
          <w:sz w:val="28"/>
          <w:szCs w:val="28"/>
        </w:rPr>
        <w:t>дотационности</w:t>
      </w:r>
      <w:proofErr w:type="spellEnd"/>
      <w:r>
        <w:rPr>
          <w:sz w:val="28"/>
          <w:szCs w:val="28"/>
        </w:rPr>
        <w:t xml:space="preserve"> муниципальных районов Забайкальского края и увеличение налоговых и неналоговых доходов консолидированных бюджетов муниципальных районов Забайкальского края, а также на бюджетную консолидацию и повышение эффективности использования бюджетных средств </w:t>
      </w:r>
      <w:r w:rsidRPr="001501F8">
        <w:rPr>
          <w:sz w:val="28"/>
          <w:szCs w:val="28"/>
        </w:rPr>
        <w:t>с</w:t>
      </w:r>
      <w:r>
        <w:rPr>
          <w:sz w:val="28"/>
          <w:szCs w:val="28"/>
        </w:rPr>
        <w:t xml:space="preserve"> учетом выполнения определенных условий. </w:t>
      </w:r>
    </w:p>
    <w:p w:rsidR="002A32E2" w:rsidRDefault="002A32E2" w:rsidP="002A32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Невыполнения Получателем, т.е. муниципальным районом «Чернышевский район</w:t>
      </w:r>
      <w:proofErr w:type="gramStart"/>
      <w:r>
        <w:rPr>
          <w:sz w:val="28"/>
          <w:szCs w:val="28"/>
        </w:rPr>
        <w:t>»,  обязательств</w:t>
      </w:r>
      <w:proofErr w:type="gramEnd"/>
      <w:r>
        <w:rPr>
          <w:sz w:val="28"/>
          <w:szCs w:val="28"/>
        </w:rPr>
        <w:t>, предусмотренных   Соглашением, объем дотаций подлежит сокращению, за исключением части дотации, подлежащей замене на дополнительный норматив отчислений от НДФЛ.</w:t>
      </w:r>
    </w:p>
    <w:p w:rsidR="002A32E2" w:rsidRDefault="002A32E2" w:rsidP="002A32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Следовательно, при неисполнении указанного Соглашения, есть вероятность сокращения объема дотации по решению Министерства финансов Забайкальского края, а утвержденный дополнительный норматив дает гарантию в получении доходов в размере дополнительного норматива, не подлежащего уменьшению.</w:t>
      </w:r>
    </w:p>
    <w:p w:rsidR="002A32E2" w:rsidRPr="00FE681B" w:rsidRDefault="002A32E2" w:rsidP="002A32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Комитет по финансам предлагает к утверждению проект Решения «О согласии на частичную замену дотации на выравнивание бюджетной обеспеченности муниципального района «Чернышевский район» дополнительным нормативом отчислений в бюджет муниципального района от налога на доходы физических лиц на 2026 год и плановый период 2027-2028 годы».</w:t>
      </w: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32E2" w:rsidRDefault="002A32E2" w:rsidP="002A32E2">
      <w:pPr>
        <w:rPr>
          <w:sz w:val="28"/>
          <w:szCs w:val="28"/>
        </w:rPr>
      </w:pPr>
    </w:p>
    <w:p w:rsidR="002A32E2" w:rsidRPr="001762ED" w:rsidRDefault="002A32E2" w:rsidP="002A32E2">
      <w:pPr>
        <w:jc w:val="center"/>
      </w:pPr>
      <w:r w:rsidRPr="007329E5">
        <w:rPr>
          <w:b/>
          <w:sz w:val="32"/>
          <w:szCs w:val="32"/>
        </w:rPr>
        <w:lastRenderedPageBreak/>
        <w:t>Анализ поступления НДФЛ по дополнительному</w:t>
      </w:r>
    </w:p>
    <w:p w:rsidR="002A32E2" w:rsidRPr="00A611B9" w:rsidRDefault="002A32E2" w:rsidP="002A32E2">
      <w:pPr>
        <w:jc w:val="center"/>
        <w:rPr>
          <w:b/>
          <w:sz w:val="32"/>
          <w:szCs w:val="32"/>
        </w:rPr>
      </w:pPr>
      <w:r w:rsidRPr="007329E5">
        <w:rPr>
          <w:b/>
          <w:sz w:val="32"/>
          <w:szCs w:val="32"/>
        </w:rPr>
        <w:t>нормативу в динамике</w:t>
      </w:r>
    </w:p>
    <w:p w:rsidR="002A32E2" w:rsidRDefault="002A32E2" w:rsidP="002A32E2"/>
    <w:p w:rsidR="002A32E2" w:rsidRDefault="002A32E2" w:rsidP="002A32E2">
      <w:pPr>
        <w:jc w:val="right"/>
      </w:pPr>
      <w:proofErr w:type="spellStart"/>
      <w:r>
        <w:t>тыс.руб</w:t>
      </w:r>
      <w:proofErr w:type="spellEnd"/>
      <w:r>
        <w:t>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1275"/>
        <w:gridCol w:w="1276"/>
        <w:gridCol w:w="1276"/>
        <w:gridCol w:w="1417"/>
      </w:tblGrid>
      <w:tr w:rsidR="002A32E2" w:rsidRPr="00573131" w:rsidTr="00FE288A">
        <w:tc>
          <w:tcPr>
            <w:tcW w:w="2127" w:type="dxa"/>
            <w:vMerge w:val="restart"/>
          </w:tcPr>
          <w:p w:rsidR="002A32E2" w:rsidRPr="00573131" w:rsidRDefault="002A32E2" w:rsidP="00FE288A">
            <w:r w:rsidRPr="00573131">
              <w:t>НДФЛ</w:t>
            </w:r>
          </w:p>
        </w:tc>
        <w:tc>
          <w:tcPr>
            <w:tcW w:w="2552" w:type="dxa"/>
            <w:gridSpan w:val="2"/>
          </w:tcPr>
          <w:p w:rsidR="002A32E2" w:rsidRPr="00573131" w:rsidRDefault="002A32E2" w:rsidP="00FE288A">
            <w:pPr>
              <w:jc w:val="center"/>
              <w:rPr>
                <w:b/>
              </w:rPr>
            </w:pPr>
            <w:r w:rsidRPr="00573131">
              <w:rPr>
                <w:b/>
              </w:rPr>
              <w:t>2023г.</w:t>
            </w:r>
          </w:p>
          <w:p w:rsidR="002A32E2" w:rsidRPr="00573131" w:rsidRDefault="002A32E2" w:rsidP="00FE288A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2A32E2" w:rsidRPr="00573131" w:rsidRDefault="002A32E2" w:rsidP="00FE288A">
            <w:pPr>
              <w:jc w:val="center"/>
              <w:rPr>
                <w:b/>
              </w:rPr>
            </w:pPr>
            <w:r w:rsidRPr="00573131">
              <w:rPr>
                <w:b/>
              </w:rPr>
              <w:t>2024г.</w:t>
            </w:r>
          </w:p>
        </w:tc>
        <w:tc>
          <w:tcPr>
            <w:tcW w:w="2693" w:type="dxa"/>
            <w:gridSpan w:val="2"/>
          </w:tcPr>
          <w:p w:rsidR="002A32E2" w:rsidRPr="00573131" w:rsidRDefault="002A32E2" w:rsidP="00FE288A">
            <w:pPr>
              <w:jc w:val="center"/>
              <w:rPr>
                <w:b/>
              </w:rPr>
            </w:pPr>
            <w:r w:rsidRPr="00573131">
              <w:rPr>
                <w:b/>
              </w:rPr>
              <w:t>Текущий финансовый период</w:t>
            </w:r>
          </w:p>
          <w:p w:rsidR="002A32E2" w:rsidRPr="00573131" w:rsidRDefault="002A32E2" w:rsidP="00FE288A">
            <w:pPr>
              <w:jc w:val="center"/>
              <w:rPr>
                <w:b/>
              </w:rPr>
            </w:pPr>
            <w:r w:rsidRPr="00573131">
              <w:rPr>
                <w:b/>
              </w:rPr>
              <w:t>2025г.</w:t>
            </w:r>
          </w:p>
        </w:tc>
      </w:tr>
      <w:tr w:rsidR="002A32E2" w:rsidRPr="00573131" w:rsidTr="00FE288A">
        <w:tc>
          <w:tcPr>
            <w:tcW w:w="2127" w:type="dxa"/>
            <w:vMerge/>
          </w:tcPr>
          <w:p w:rsidR="002A32E2" w:rsidRPr="00573131" w:rsidRDefault="002A32E2" w:rsidP="00FE288A"/>
        </w:tc>
        <w:tc>
          <w:tcPr>
            <w:tcW w:w="1276" w:type="dxa"/>
          </w:tcPr>
          <w:p w:rsidR="002A32E2" w:rsidRPr="00573131" w:rsidRDefault="002A32E2" w:rsidP="00FE288A">
            <w:r w:rsidRPr="00573131">
              <w:t>Всего</w:t>
            </w:r>
          </w:p>
          <w:p w:rsidR="002A32E2" w:rsidRPr="00573131" w:rsidRDefault="002A32E2" w:rsidP="00FE288A">
            <w:r w:rsidRPr="00573131">
              <w:t>37,4 %</w:t>
            </w:r>
          </w:p>
        </w:tc>
        <w:tc>
          <w:tcPr>
            <w:tcW w:w="1276" w:type="dxa"/>
          </w:tcPr>
          <w:p w:rsidR="002A32E2" w:rsidRPr="00573131" w:rsidRDefault="002A32E2" w:rsidP="00FE288A">
            <w:r w:rsidRPr="00573131">
              <w:t xml:space="preserve">по </w:t>
            </w:r>
            <w:proofErr w:type="spellStart"/>
            <w:r w:rsidRPr="00573131">
              <w:t>доп.норм</w:t>
            </w:r>
            <w:proofErr w:type="spellEnd"/>
            <w:r w:rsidRPr="00573131">
              <w:t>.</w:t>
            </w:r>
          </w:p>
          <w:p w:rsidR="002A32E2" w:rsidRPr="00573131" w:rsidRDefault="002A32E2" w:rsidP="00FE288A">
            <w:r w:rsidRPr="00573131">
              <w:t>(22,4%)</w:t>
            </w:r>
          </w:p>
        </w:tc>
        <w:tc>
          <w:tcPr>
            <w:tcW w:w="1275" w:type="dxa"/>
          </w:tcPr>
          <w:p w:rsidR="002A32E2" w:rsidRPr="00573131" w:rsidRDefault="002A32E2" w:rsidP="00FE288A">
            <w:r w:rsidRPr="00573131">
              <w:t>Всего</w:t>
            </w:r>
          </w:p>
          <w:p w:rsidR="002A32E2" w:rsidRPr="00573131" w:rsidRDefault="002A32E2" w:rsidP="00FE288A">
            <w:r w:rsidRPr="00573131">
              <w:t>37,7 %</w:t>
            </w:r>
          </w:p>
        </w:tc>
        <w:tc>
          <w:tcPr>
            <w:tcW w:w="1276" w:type="dxa"/>
          </w:tcPr>
          <w:p w:rsidR="002A32E2" w:rsidRPr="00573131" w:rsidRDefault="002A32E2" w:rsidP="00FE288A">
            <w:r w:rsidRPr="00573131">
              <w:t xml:space="preserve">по </w:t>
            </w:r>
            <w:proofErr w:type="spellStart"/>
            <w:r w:rsidRPr="00573131">
              <w:t>доп.норм</w:t>
            </w:r>
            <w:proofErr w:type="spellEnd"/>
            <w:r w:rsidRPr="00573131">
              <w:t>.</w:t>
            </w:r>
          </w:p>
          <w:p w:rsidR="002A32E2" w:rsidRPr="00573131" w:rsidRDefault="002A32E2" w:rsidP="00FE288A">
            <w:r w:rsidRPr="00573131">
              <w:t>(22,7%)</w:t>
            </w:r>
          </w:p>
        </w:tc>
        <w:tc>
          <w:tcPr>
            <w:tcW w:w="1276" w:type="dxa"/>
          </w:tcPr>
          <w:p w:rsidR="002A32E2" w:rsidRPr="00573131" w:rsidRDefault="002A32E2" w:rsidP="00FE288A">
            <w:r w:rsidRPr="00573131">
              <w:t>Всего</w:t>
            </w:r>
          </w:p>
          <w:p w:rsidR="002A32E2" w:rsidRPr="00573131" w:rsidRDefault="002A32E2" w:rsidP="00FE288A">
            <w:r w:rsidRPr="00573131">
              <w:t>42,9%</w:t>
            </w:r>
          </w:p>
        </w:tc>
        <w:tc>
          <w:tcPr>
            <w:tcW w:w="1417" w:type="dxa"/>
          </w:tcPr>
          <w:p w:rsidR="002A32E2" w:rsidRPr="00573131" w:rsidRDefault="002A32E2" w:rsidP="00FE288A">
            <w:r w:rsidRPr="00573131">
              <w:t xml:space="preserve">по </w:t>
            </w:r>
            <w:proofErr w:type="spellStart"/>
            <w:r w:rsidRPr="00573131">
              <w:t>доп.норм</w:t>
            </w:r>
            <w:proofErr w:type="spellEnd"/>
            <w:r w:rsidRPr="00573131">
              <w:t>.</w:t>
            </w:r>
          </w:p>
          <w:p w:rsidR="002A32E2" w:rsidRPr="00573131" w:rsidRDefault="002A32E2" w:rsidP="00FE288A">
            <w:r w:rsidRPr="00573131">
              <w:t>(27,9%)</w:t>
            </w:r>
          </w:p>
        </w:tc>
      </w:tr>
      <w:tr w:rsidR="002A32E2" w:rsidRPr="00573131" w:rsidTr="00FE288A">
        <w:tc>
          <w:tcPr>
            <w:tcW w:w="2127" w:type="dxa"/>
          </w:tcPr>
          <w:p w:rsidR="002A32E2" w:rsidRPr="00573131" w:rsidRDefault="002A32E2" w:rsidP="00FE288A">
            <w:r w:rsidRPr="00573131">
              <w:t>Утверждено по бюджету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jc w:val="center"/>
            </w:pPr>
            <w:r w:rsidRPr="00573131">
              <w:t>331 735,0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198 686,2</w:t>
            </w:r>
          </w:p>
        </w:tc>
        <w:tc>
          <w:tcPr>
            <w:tcW w:w="1275" w:type="dxa"/>
          </w:tcPr>
          <w:p w:rsidR="002A32E2" w:rsidRPr="00573131" w:rsidRDefault="002A32E2" w:rsidP="00FE288A">
            <w:pPr>
              <w:jc w:val="center"/>
            </w:pPr>
            <w:r w:rsidRPr="00573131">
              <w:t>455 635,5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274 348,2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jc w:val="center"/>
            </w:pPr>
            <w:r w:rsidRPr="00573131">
              <w:t>561 871,0</w:t>
            </w:r>
          </w:p>
        </w:tc>
        <w:tc>
          <w:tcPr>
            <w:tcW w:w="1417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365 412,6</w:t>
            </w:r>
          </w:p>
        </w:tc>
      </w:tr>
      <w:tr w:rsidR="002A32E2" w:rsidRPr="00573131" w:rsidTr="00FE288A">
        <w:tc>
          <w:tcPr>
            <w:tcW w:w="2127" w:type="dxa"/>
          </w:tcPr>
          <w:p w:rsidR="002A32E2" w:rsidRPr="00573131" w:rsidRDefault="002A32E2" w:rsidP="00FE288A">
            <w:r w:rsidRPr="00573131">
              <w:t>Согласовано на «нулевых» чтениях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jc w:val="center"/>
            </w:pPr>
            <w:r w:rsidRPr="00573131">
              <w:t>331 735,0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198 686,2</w:t>
            </w:r>
          </w:p>
        </w:tc>
        <w:tc>
          <w:tcPr>
            <w:tcW w:w="1275" w:type="dxa"/>
          </w:tcPr>
          <w:p w:rsidR="002A32E2" w:rsidRPr="00573131" w:rsidRDefault="002A32E2" w:rsidP="00FE288A">
            <w:pPr>
              <w:jc w:val="center"/>
            </w:pPr>
            <w:r w:rsidRPr="00573131">
              <w:t>455 635,5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274 348,2</w:t>
            </w:r>
          </w:p>
        </w:tc>
        <w:tc>
          <w:tcPr>
            <w:tcW w:w="1276" w:type="dxa"/>
          </w:tcPr>
          <w:p w:rsidR="002A32E2" w:rsidRPr="00573131" w:rsidRDefault="002A32E2" w:rsidP="00FE288A">
            <w:r w:rsidRPr="00573131">
              <w:t>561 871,0</w:t>
            </w:r>
          </w:p>
        </w:tc>
        <w:tc>
          <w:tcPr>
            <w:tcW w:w="1417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365 412,6</w:t>
            </w:r>
          </w:p>
        </w:tc>
      </w:tr>
      <w:tr w:rsidR="002A32E2" w:rsidRPr="00573131" w:rsidTr="00FE288A">
        <w:tc>
          <w:tcPr>
            <w:tcW w:w="2127" w:type="dxa"/>
          </w:tcPr>
          <w:p w:rsidR="002A32E2" w:rsidRPr="00573131" w:rsidRDefault="002A32E2" w:rsidP="00FE288A">
            <w:r w:rsidRPr="00573131">
              <w:t>Уточненный план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jc w:val="center"/>
            </w:pPr>
            <w:r w:rsidRPr="00573131">
              <w:t>398 304,7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238 556,8</w:t>
            </w:r>
          </w:p>
        </w:tc>
        <w:tc>
          <w:tcPr>
            <w:tcW w:w="1275" w:type="dxa"/>
          </w:tcPr>
          <w:p w:rsidR="002A32E2" w:rsidRPr="00573131" w:rsidRDefault="002A32E2" w:rsidP="00FE288A">
            <w:pPr>
              <w:jc w:val="center"/>
            </w:pPr>
            <w:r w:rsidRPr="00573131">
              <w:t>446 999,8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269 148,4</w:t>
            </w:r>
          </w:p>
        </w:tc>
        <w:tc>
          <w:tcPr>
            <w:tcW w:w="1276" w:type="dxa"/>
          </w:tcPr>
          <w:p w:rsidR="002A32E2" w:rsidRPr="00573131" w:rsidRDefault="002A32E2" w:rsidP="00FE288A">
            <w:r w:rsidRPr="00573131">
              <w:t>561 871,0</w:t>
            </w:r>
          </w:p>
        </w:tc>
        <w:tc>
          <w:tcPr>
            <w:tcW w:w="1417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365 412,6</w:t>
            </w:r>
          </w:p>
        </w:tc>
      </w:tr>
      <w:tr w:rsidR="002A32E2" w:rsidRPr="00573131" w:rsidTr="00FE288A">
        <w:tc>
          <w:tcPr>
            <w:tcW w:w="2127" w:type="dxa"/>
          </w:tcPr>
          <w:p w:rsidR="002A32E2" w:rsidRPr="00573131" w:rsidRDefault="002A32E2" w:rsidP="00FE288A">
            <w:r w:rsidRPr="00573131">
              <w:t xml:space="preserve">Фактическое (ожидаемое)поступление 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jc w:val="center"/>
            </w:pPr>
            <w:r w:rsidRPr="00573131">
              <w:t>396 910 ,7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237 721,9</w:t>
            </w:r>
          </w:p>
        </w:tc>
        <w:tc>
          <w:tcPr>
            <w:tcW w:w="1275" w:type="dxa"/>
          </w:tcPr>
          <w:p w:rsidR="002A32E2" w:rsidRPr="00573131" w:rsidRDefault="002A32E2" w:rsidP="00FE288A">
            <w:pPr>
              <w:jc w:val="center"/>
            </w:pPr>
            <w:r w:rsidRPr="00573131">
              <w:t>465 217,9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280 117,9</w:t>
            </w:r>
          </w:p>
        </w:tc>
        <w:tc>
          <w:tcPr>
            <w:tcW w:w="1276" w:type="dxa"/>
          </w:tcPr>
          <w:p w:rsidR="002A32E2" w:rsidRPr="00573131" w:rsidRDefault="002A32E2" w:rsidP="00FE288A">
            <w:r w:rsidRPr="00573131">
              <w:t>608709,5</w:t>
            </w:r>
          </w:p>
        </w:tc>
        <w:tc>
          <w:tcPr>
            <w:tcW w:w="1417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395 874,0</w:t>
            </w:r>
          </w:p>
        </w:tc>
      </w:tr>
      <w:tr w:rsidR="002A32E2" w:rsidRPr="00573131" w:rsidTr="00FE288A">
        <w:tc>
          <w:tcPr>
            <w:tcW w:w="2127" w:type="dxa"/>
          </w:tcPr>
          <w:p w:rsidR="002A32E2" w:rsidRPr="00573131" w:rsidRDefault="002A32E2" w:rsidP="00FE288A">
            <w:r w:rsidRPr="00573131">
              <w:t>Отклонение,</w:t>
            </w:r>
          </w:p>
          <w:p w:rsidR="002A32E2" w:rsidRPr="00573131" w:rsidRDefault="002A32E2" w:rsidP="00FE288A">
            <w:r w:rsidRPr="00573131">
              <w:t xml:space="preserve"> (+) дополнительное поступление, </w:t>
            </w:r>
          </w:p>
          <w:p w:rsidR="002A32E2" w:rsidRPr="00573131" w:rsidRDefault="002A32E2" w:rsidP="00FE288A">
            <w:r w:rsidRPr="00573131">
              <w:t>(</w:t>
            </w:r>
            <w:proofErr w:type="gramStart"/>
            <w:r w:rsidRPr="00573131">
              <w:t>- )</w:t>
            </w:r>
            <w:proofErr w:type="gramEnd"/>
            <w:r w:rsidRPr="00573131">
              <w:t xml:space="preserve"> </w:t>
            </w:r>
            <w:proofErr w:type="spellStart"/>
            <w:r w:rsidRPr="00573131">
              <w:t>недопоступление</w:t>
            </w:r>
            <w:proofErr w:type="spellEnd"/>
          </w:p>
          <w:p w:rsidR="002A32E2" w:rsidRPr="00573131" w:rsidRDefault="002A32E2" w:rsidP="00FE288A">
            <w:r w:rsidRPr="00573131">
              <w:t>(</w:t>
            </w:r>
            <w:proofErr w:type="gramStart"/>
            <w:r w:rsidRPr="00573131">
              <w:t>факт.пост.-</w:t>
            </w:r>
            <w:proofErr w:type="spellStart"/>
            <w:proofErr w:type="gramEnd"/>
            <w:r w:rsidRPr="00573131">
              <w:t>утв.план</w:t>
            </w:r>
            <w:proofErr w:type="spellEnd"/>
            <w:r w:rsidRPr="00573131">
              <w:t>)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jc w:val="center"/>
            </w:pPr>
            <w:r w:rsidRPr="00573131">
              <w:t>+65 175,7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+39 035,7</w:t>
            </w:r>
          </w:p>
        </w:tc>
        <w:tc>
          <w:tcPr>
            <w:tcW w:w="1275" w:type="dxa"/>
          </w:tcPr>
          <w:p w:rsidR="002A32E2" w:rsidRPr="00573131" w:rsidRDefault="002A32E2" w:rsidP="00FE288A">
            <w:pPr>
              <w:jc w:val="center"/>
            </w:pPr>
            <w:r w:rsidRPr="00573131">
              <w:t>+9 582,4</w:t>
            </w:r>
          </w:p>
        </w:tc>
        <w:tc>
          <w:tcPr>
            <w:tcW w:w="1276" w:type="dxa"/>
          </w:tcPr>
          <w:p w:rsidR="002A32E2" w:rsidRPr="00573131" w:rsidRDefault="002A32E2" w:rsidP="00FE288A">
            <w:pPr>
              <w:rPr>
                <w:b/>
              </w:rPr>
            </w:pPr>
            <w:r w:rsidRPr="00573131">
              <w:rPr>
                <w:b/>
              </w:rPr>
              <w:t>+5 769,7</w:t>
            </w:r>
          </w:p>
        </w:tc>
        <w:tc>
          <w:tcPr>
            <w:tcW w:w="1276" w:type="dxa"/>
          </w:tcPr>
          <w:p w:rsidR="002A32E2" w:rsidRPr="00573131" w:rsidRDefault="002A32E2" w:rsidP="00FE288A">
            <w:r w:rsidRPr="00573131">
              <w:t>+20 459,7</w:t>
            </w:r>
          </w:p>
        </w:tc>
        <w:tc>
          <w:tcPr>
            <w:tcW w:w="1417" w:type="dxa"/>
          </w:tcPr>
          <w:p w:rsidR="002A32E2" w:rsidRPr="00573131" w:rsidRDefault="002A32E2" w:rsidP="00FE288A">
            <w:pPr>
              <w:jc w:val="center"/>
              <w:rPr>
                <w:b/>
              </w:rPr>
            </w:pPr>
            <w:r w:rsidRPr="00573131">
              <w:rPr>
                <w:b/>
              </w:rPr>
              <w:t>+30 461,4</w:t>
            </w:r>
          </w:p>
        </w:tc>
      </w:tr>
    </w:tbl>
    <w:p w:rsidR="002A32E2" w:rsidRDefault="002A32E2" w:rsidP="002A32E2"/>
    <w:p w:rsidR="002A32E2" w:rsidRDefault="002A32E2" w:rsidP="002A32E2"/>
    <w:p w:rsidR="002A32E2" w:rsidRDefault="002A32E2" w:rsidP="002A32E2"/>
    <w:p w:rsidR="002A32E2" w:rsidRDefault="002A32E2" w:rsidP="002A32E2"/>
    <w:p w:rsidR="002A32E2" w:rsidRDefault="002A32E2" w:rsidP="002A32E2"/>
    <w:p w:rsidR="002A32E2" w:rsidRDefault="002A32E2" w:rsidP="002A32E2"/>
    <w:p w:rsidR="002A32E2" w:rsidRDefault="002A32E2" w:rsidP="002A32E2"/>
    <w:p w:rsidR="002A32E2" w:rsidRDefault="002A32E2" w:rsidP="002A32E2"/>
    <w:p w:rsidR="002A32E2" w:rsidRDefault="002A32E2" w:rsidP="002A32E2"/>
    <w:p w:rsidR="002A32E2" w:rsidRDefault="002A32E2" w:rsidP="002A32E2"/>
    <w:p w:rsidR="002A32E2" w:rsidRDefault="002A32E2" w:rsidP="002A32E2"/>
    <w:p w:rsidR="00F12C76" w:rsidRPr="00964F65" w:rsidRDefault="00F12C76" w:rsidP="00964F65">
      <w:pPr>
        <w:rPr>
          <w:sz w:val="28"/>
          <w:szCs w:val="28"/>
        </w:rPr>
      </w:pPr>
      <w:bookmarkStart w:id="0" w:name="_GoBack"/>
      <w:bookmarkEnd w:id="0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230BD"/>
    <w:multiLevelType w:val="hybridMultilevel"/>
    <w:tmpl w:val="2B24764A"/>
    <w:lvl w:ilvl="0" w:tplc="C1F8EF5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A32E2"/>
    <w:rsid w:val="002F101C"/>
    <w:rsid w:val="006C0B77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A32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2A32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1461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2025-11-07T07:16:00Z</dcterms:created>
  <dcterms:modified xsi:type="dcterms:W3CDTF">2025-11-13T05:36:00Z</dcterms:modified>
</cp:coreProperties>
</file>