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BF4FD1" w:rsidRPr="00A55243" w:rsidRDefault="00BF4FD1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BF4FD1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2F101C">
        <w:rPr>
          <w:sz w:val="28"/>
          <w:szCs w:val="28"/>
        </w:rPr>
        <w:t xml:space="preserve">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BF4FD1" w:rsidRPr="00BF4FD1" w:rsidRDefault="00BF4FD1" w:rsidP="00BF4FD1">
      <w:pPr>
        <w:jc w:val="center"/>
        <w:rPr>
          <w:sz w:val="28"/>
          <w:szCs w:val="28"/>
        </w:rPr>
      </w:pPr>
    </w:p>
    <w:p w:rsidR="00BF4FD1" w:rsidRPr="00BF4FD1" w:rsidRDefault="00BF4FD1" w:rsidP="00BF4FD1">
      <w:pPr>
        <w:tabs>
          <w:tab w:val="left" w:pos="709"/>
        </w:tabs>
        <w:jc w:val="center"/>
        <w:rPr>
          <w:b/>
          <w:sz w:val="28"/>
          <w:szCs w:val="28"/>
          <w:lang w:bidi="ru-RU"/>
        </w:rPr>
      </w:pPr>
      <w:r w:rsidRPr="00BF4FD1">
        <w:rPr>
          <w:b/>
          <w:sz w:val="28"/>
          <w:szCs w:val="28"/>
        </w:rPr>
        <w:t>О внесении изменений в Решение Совета муниципального района «Чернышевский район» № 243 от 30 ноября 2020 года «Об установлении максимального размера платы, взимаемой с родителей (законных представителей)</w:t>
      </w:r>
      <w:r w:rsidRPr="00BF4FD1">
        <w:rPr>
          <w:b/>
          <w:sz w:val="28"/>
          <w:szCs w:val="28"/>
          <w:lang w:bidi="ru-RU"/>
        </w:rPr>
        <w:t xml:space="preserve"> за содержание детей в муниципальных образовательных организациях муниципального района «Чернышевский район» с наличием интерната </w:t>
      </w:r>
    </w:p>
    <w:p w:rsidR="002F101C" w:rsidRDefault="002F101C" w:rsidP="002F101C">
      <w:pPr>
        <w:rPr>
          <w:sz w:val="28"/>
          <w:szCs w:val="28"/>
        </w:rPr>
      </w:pPr>
    </w:p>
    <w:p w:rsidR="00BF4FD1" w:rsidRPr="00BF4FD1" w:rsidRDefault="00BF4FD1" w:rsidP="00BF4FD1">
      <w:pPr>
        <w:ind w:firstLine="708"/>
        <w:jc w:val="both"/>
        <w:rPr>
          <w:b/>
          <w:sz w:val="28"/>
          <w:szCs w:val="28"/>
        </w:rPr>
      </w:pPr>
      <w:r w:rsidRPr="00BF4FD1">
        <w:rPr>
          <w:sz w:val="28"/>
          <w:szCs w:val="28"/>
          <w:lang w:bidi="ru-RU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Федерации», статьей 65 Федерального закона Российской Федерации от 29 декабря 2012 года № 273- ФЗ «Об образовании в Российской Федерации»,  Постановление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</w:r>
      <w:r w:rsidRPr="00BF4FD1">
        <w:rPr>
          <w:sz w:val="28"/>
          <w:szCs w:val="28"/>
        </w:rPr>
        <w:t xml:space="preserve">,  </w:t>
      </w:r>
      <w:r w:rsidRPr="00BF4FD1">
        <w:rPr>
          <w:sz w:val="28"/>
          <w:szCs w:val="28"/>
          <w:lang w:bidi="ru-RU"/>
        </w:rPr>
        <w:t xml:space="preserve">руководствуясь статьей 23 Устава Чернышевского муниципального округа, Совет Чернышевского муниципального округа </w:t>
      </w:r>
      <w:r w:rsidRPr="00BF4FD1">
        <w:rPr>
          <w:b/>
          <w:sz w:val="28"/>
          <w:szCs w:val="28"/>
          <w:lang w:bidi="ru-RU"/>
        </w:rPr>
        <w:t>решил:</w:t>
      </w:r>
    </w:p>
    <w:p w:rsidR="00BF4FD1" w:rsidRPr="00BF4FD1" w:rsidRDefault="00BF4FD1" w:rsidP="00BF4FD1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</w:p>
    <w:p w:rsidR="00BF4FD1" w:rsidRPr="00BF4FD1" w:rsidRDefault="00BF4FD1" w:rsidP="00BF4FD1">
      <w:pPr>
        <w:tabs>
          <w:tab w:val="left" w:pos="709"/>
        </w:tabs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tab/>
        <w:t xml:space="preserve">1. Внести изменения в пункт 1 решения </w:t>
      </w:r>
      <w:r w:rsidRPr="00BF4FD1">
        <w:rPr>
          <w:sz w:val="28"/>
          <w:szCs w:val="28"/>
        </w:rPr>
        <w:t>Совета муниципального района «Чернышевский район» № 243 от 30 ноября 2020 года «Об установлении максимального размера платы, взимаемой с родителей (законных представителей)</w:t>
      </w:r>
      <w:r w:rsidRPr="00BF4FD1">
        <w:rPr>
          <w:sz w:val="28"/>
          <w:szCs w:val="28"/>
          <w:lang w:bidi="ru-RU"/>
        </w:rPr>
        <w:t xml:space="preserve"> за содержание детей в муниципальных образовательных организациях муниципального района «Чернышевский район» с наличием интерната и изложить его в следующей редакции:</w:t>
      </w:r>
    </w:p>
    <w:p w:rsidR="00BF4FD1" w:rsidRPr="00BF4FD1" w:rsidRDefault="00BF4FD1" w:rsidP="00BF4FD1">
      <w:pPr>
        <w:tabs>
          <w:tab w:val="left" w:pos="709"/>
        </w:tabs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tab/>
        <w:t xml:space="preserve">« п.1.  Установить максимальный размер платы за содержание детей в муниципальных образовательных организациях Чернышевского муниципального округа с наличием интерната в следующей сумме на одного ребенка: </w:t>
      </w:r>
    </w:p>
    <w:p w:rsidR="00BF4FD1" w:rsidRPr="00BF4FD1" w:rsidRDefault="00BF4FD1" w:rsidP="00BF4FD1">
      <w:pPr>
        <w:tabs>
          <w:tab w:val="left" w:pos="709"/>
        </w:tabs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t>- 375 (триста семьдесят пять) рублей в день-оплата за питание в образовательных организациях с наличием интерната.</w:t>
      </w:r>
    </w:p>
    <w:p w:rsidR="00BF4FD1" w:rsidRPr="00BF4FD1" w:rsidRDefault="00BF4FD1" w:rsidP="00BF4FD1">
      <w:pPr>
        <w:tabs>
          <w:tab w:val="left" w:pos="709"/>
        </w:tabs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tab/>
        <w:t>Из них максимальный размер платы, взимаемой с родителей (законных представителей) за содержание детей в муниципальных образовательных организациях Чернышевского муниципального округа с наличием интерната составляет 190 рублей на одного ребенка.</w:t>
      </w:r>
    </w:p>
    <w:p w:rsidR="00BF4FD1" w:rsidRPr="00BF4FD1" w:rsidRDefault="00BF4FD1" w:rsidP="00BF4FD1">
      <w:pPr>
        <w:tabs>
          <w:tab w:val="left" w:pos="709"/>
        </w:tabs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lastRenderedPageBreak/>
        <w:tab/>
        <w:t>185 рублей финансируется из средств местного бюджета. Финансирование осуществляется на основании заявок, предоставляемых Комитетом образования и молодежной политики администрации Чернышевского муниципального округа в Комитет по финансам администрации Чернышевского муниципального округа.</w:t>
      </w:r>
    </w:p>
    <w:p w:rsidR="00BF4FD1" w:rsidRPr="00BF4FD1" w:rsidRDefault="00BF4FD1" w:rsidP="00BF4FD1">
      <w:pPr>
        <w:jc w:val="both"/>
        <w:rPr>
          <w:sz w:val="28"/>
          <w:szCs w:val="28"/>
          <w:lang w:bidi="ru-RU"/>
        </w:rPr>
      </w:pPr>
      <w:r w:rsidRPr="00BF4FD1">
        <w:rPr>
          <w:rFonts w:ascii="Calibri" w:hAnsi="Calibri"/>
          <w:sz w:val="22"/>
          <w:szCs w:val="22"/>
          <w:lang w:bidi="ru-RU"/>
        </w:rPr>
        <w:t xml:space="preserve">2. </w:t>
      </w:r>
      <w:r w:rsidRPr="00BF4FD1">
        <w:rPr>
          <w:sz w:val="28"/>
          <w:szCs w:val="28"/>
          <w:lang w:bidi="ru-RU"/>
        </w:rPr>
        <w:t xml:space="preserve">Настоящее решение опубликовать в общественно-политической газете Чернышевского муниципального округа «Наше время», разместить на официальном сайте муниципального округа в информационно-телекоммуникационной сети «Интернет» </w:t>
      </w:r>
      <w:hyperlink r:id="rId4" w:history="1">
        <w:r w:rsidRPr="00BF4FD1">
          <w:rPr>
            <w:sz w:val="28"/>
            <w:szCs w:val="28"/>
            <w:lang w:bidi="ru-RU"/>
          </w:rPr>
          <w:t>www.chernishev.75.ru</w:t>
        </w:r>
      </w:hyperlink>
      <w:r w:rsidRPr="00BF4FD1">
        <w:rPr>
          <w:sz w:val="28"/>
          <w:szCs w:val="28"/>
          <w:lang w:bidi="ru-RU"/>
        </w:rPr>
        <w:t xml:space="preserve">,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Pr="00BF4FD1">
        <w:rPr>
          <w:sz w:val="28"/>
          <w:szCs w:val="28"/>
          <w:lang w:bidi="ru-RU"/>
        </w:rPr>
        <w:t>пгт</w:t>
      </w:r>
      <w:proofErr w:type="spellEnd"/>
      <w:r w:rsidRPr="00BF4FD1">
        <w:rPr>
          <w:sz w:val="28"/>
          <w:szCs w:val="28"/>
          <w:lang w:bidi="ru-RU"/>
        </w:rPr>
        <w:t xml:space="preserve">. </w:t>
      </w:r>
      <w:proofErr w:type="spellStart"/>
      <w:r w:rsidRPr="00BF4FD1">
        <w:rPr>
          <w:sz w:val="28"/>
          <w:szCs w:val="28"/>
          <w:lang w:bidi="ru-RU"/>
        </w:rPr>
        <w:t>Жирекен</w:t>
      </w:r>
      <w:proofErr w:type="spellEnd"/>
      <w:r w:rsidRPr="00BF4FD1">
        <w:rPr>
          <w:sz w:val="28"/>
          <w:szCs w:val="28"/>
          <w:lang w:bidi="ru-RU"/>
        </w:rPr>
        <w:t xml:space="preserve">, д.15; Забайкальский край, </w:t>
      </w:r>
      <w:proofErr w:type="spellStart"/>
      <w:r w:rsidRPr="00BF4FD1">
        <w:rPr>
          <w:sz w:val="28"/>
          <w:szCs w:val="28"/>
          <w:lang w:bidi="ru-RU"/>
        </w:rPr>
        <w:t>пгт</w:t>
      </w:r>
      <w:proofErr w:type="spellEnd"/>
      <w:r w:rsidRPr="00BF4FD1">
        <w:rPr>
          <w:sz w:val="28"/>
          <w:szCs w:val="28"/>
          <w:lang w:bidi="ru-RU"/>
        </w:rPr>
        <w:t xml:space="preserve">. Букачача, Клубный проспект, д.1, Забайкальский край, </w:t>
      </w:r>
      <w:proofErr w:type="spellStart"/>
      <w:r w:rsidRPr="00BF4FD1">
        <w:rPr>
          <w:sz w:val="28"/>
          <w:szCs w:val="28"/>
          <w:lang w:bidi="ru-RU"/>
        </w:rPr>
        <w:t>пгт</w:t>
      </w:r>
      <w:proofErr w:type="spellEnd"/>
      <w:r w:rsidRPr="00BF4FD1">
        <w:rPr>
          <w:sz w:val="28"/>
          <w:szCs w:val="28"/>
          <w:lang w:bidi="ru-RU"/>
        </w:rPr>
        <w:t xml:space="preserve">. </w:t>
      </w:r>
      <w:proofErr w:type="spellStart"/>
      <w:r w:rsidRPr="00BF4FD1">
        <w:rPr>
          <w:sz w:val="28"/>
          <w:szCs w:val="28"/>
          <w:lang w:bidi="ru-RU"/>
        </w:rPr>
        <w:t>Аксёново-Зиловское</w:t>
      </w:r>
      <w:proofErr w:type="spellEnd"/>
      <w:r w:rsidRPr="00BF4FD1">
        <w:rPr>
          <w:sz w:val="28"/>
          <w:szCs w:val="28"/>
          <w:lang w:bidi="ru-RU"/>
        </w:rPr>
        <w:t xml:space="preserve">, ул. Октябрьская, д.9, Забайкальский край, с. </w:t>
      </w:r>
      <w:proofErr w:type="spellStart"/>
      <w:r w:rsidRPr="00BF4FD1">
        <w:rPr>
          <w:sz w:val="28"/>
          <w:szCs w:val="28"/>
          <w:lang w:bidi="ru-RU"/>
        </w:rPr>
        <w:t>Алеур</w:t>
      </w:r>
      <w:proofErr w:type="spellEnd"/>
      <w:r w:rsidRPr="00BF4FD1">
        <w:rPr>
          <w:sz w:val="28"/>
          <w:szCs w:val="28"/>
          <w:lang w:bidi="ru-RU"/>
        </w:rPr>
        <w:t xml:space="preserve">, ул. Кирова, д.51, Забайкальский край, с. </w:t>
      </w:r>
      <w:proofErr w:type="spellStart"/>
      <w:r w:rsidRPr="00BF4FD1">
        <w:rPr>
          <w:sz w:val="28"/>
          <w:szCs w:val="28"/>
          <w:lang w:bidi="ru-RU"/>
        </w:rPr>
        <w:t>Утан</w:t>
      </w:r>
      <w:proofErr w:type="spellEnd"/>
      <w:r w:rsidRPr="00BF4FD1">
        <w:rPr>
          <w:sz w:val="28"/>
          <w:szCs w:val="28"/>
          <w:lang w:bidi="ru-RU"/>
        </w:rPr>
        <w:t xml:space="preserve">, ул. Погодаева, д.45 «а», Забайкальский край, с. Старый </w:t>
      </w:r>
      <w:proofErr w:type="spellStart"/>
      <w:r w:rsidRPr="00BF4FD1">
        <w:rPr>
          <w:sz w:val="28"/>
          <w:szCs w:val="28"/>
          <w:lang w:bidi="ru-RU"/>
        </w:rPr>
        <w:t>Олов</w:t>
      </w:r>
      <w:proofErr w:type="spellEnd"/>
      <w:r w:rsidRPr="00BF4FD1">
        <w:rPr>
          <w:sz w:val="28"/>
          <w:szCs w:val="28"/>
          <w:lang w:bidi="ru-RU"/>
        </w:rPr>
        <w:t xml:space="preserve">, ул. Ленина, д. 49 «а», Забайкальский </w:t>
      </w:r>
      <w:proofErr w:type="spellStart"/>
      <w:r w:rsidRPr="00BF4FD1">
        <w:rPr>
          <w:sz w:val="28"/>
          <w:szCs w:val="28"/>
          <w:lang w:bidi="ru-RU"/>
        </w:rPr>
        <w:t>край,с</w:t>
      </w:r>
      <w:proofErr w:type="spellEnd"/>
      <w:r w:rsidRPr="00BF4FD1">
        <w:rPr>
          <w:sz w:val="28"/>
          <w:szCs w:val="28"/>
          <w:lang w:bidi="ru-RU"/>
        </w:rPr>
        <w:t xml:space="preserve">. Новый </w:t>
      </w:r>
      <w:proofErr w:type="spellStart"/>
      <w:r w:rsidRPr="00BF4FD1">
        <w:rPr>
          <w:sz w:val="28"/>
          <w:szCs w:val="28"/>
          <w:lang w:bidi="ru-RU"/>
        </w:rPr>
        <w:t>Олов</w:t>
      </w:r>
      <w:proofErr w:type="spellEnd"/>
      <w:r w:rsidRPr="00BF4FD1">
        <w:rPr>
          <w:sz w:val="28"/>
          <w:szCs w:val="28"/>
          <w:lang w:bidi="ru-RU"/>
        </w:rPr>
        <w:t xml:space="preserve">, ул. Погодаева, д. 64 «а», Забайкальский край, с. </w:t>
      </w:r>
      <w:proofErr w:type="spellStart"/>
      <w:r w:rsidRPr="00BF4FD1">
        <w:rPr>
          <w:sz w:val="28"/>
          <w:szCs w:val="28"/>
          <w:lang w:bidi="ru-RU"/>
        </w:rPr>
        <w:t>Укурей</w:t>
      </w:r>
      <w:proofErr w:type="spellEnd"/>
      <w:r w:rsidRPr="00BF4FD1">
        <w:rPr>
          <w:sz w:val="28"/>
          <w:szCs w:val="28"/>
          <w:lang w:bidi="ru-RU"/>
        </w:rPr>
        <w:t xml:space="preserve">, ул. Лазо, д. 16, Забайкальский край, с. Гаур, ул. Центральная, д. 33, Забайкальский край, с. </w:t>
      </w:r>
      <w:proofErr w:type="spellStart"/>
      <w:r w:rsidRPr="00BF4FD1">
        <w:rPr>
          <w:sz w:val="28"/>
          <w:szCs w:val="28"/>
          <w:lang w:bidi="ru-RU"/>
        </w:rPr>
        <w:t>Икшица</w:t>
      </w:r>
      <w:proofErr w:type="spellEnd"/>
      <w:r w:rsidRPr="00BF4FD1">
        <w:rPr>
          <w:sz w:val="28"/>
          <w:szCs w:val="28"/>
          <w:lang w:bidi="ru-RU"/>
        </w:rPr>
        <w:t xml:space="preserve">, ул. Сельская, д.2, Забайкальский край, с. </w:t>
      </w:r>
      <w:proofErr w:type="spellStart"/>
      <w:r w:rsidRPr="00BF4FD1">
        <w:rPr>
          <w:sz w:val="28"/>
          <w:szCs w:val="28"/>
          <w:lang w:bidi="ru-RU"/>
        </w:rPr>
        <w:t>Мильгидун</w:t>
      </w:r>
      <w:proofErr w:type="spellEnd"/>
      <w:r w:rsidRPr="00BF4FD1">
        <w:rPr>
          <w:sz w:val="28"/>
          <w:szCs w:val="28"/>
          <w:lang w:bidi="ru-RU"/>
        </w:rPr>
        <w:t xml:space="preserve">, ул. Молодежная, д. 40, Забайкальский край, с. Комсомольское, ул. Октябрьская, д. 24, Забайкальский край, с. </w:t>
      </w:r>
      <w:proofErr w:type="spellStart"/>
      <w:r w:rsidRPr="00BF4FD1">
        <w:rPr>
          <w:sz w:val="28"/>
          <w:szCs w:val="28"/>
          <w:lang w:bidi="ru-RU"/>
        </w:rPr>
        <w:t>Урюм</w:t>
      </w:r>
      <w:proofErr w:type="spellEnd"/>
      <w:r w:rsidRPr="00BF4FD1">
        <w:rPr>
          <w:sz w:val="28"/>
          <w:szCs w:val="28"/>
          <w:lang w:bidi="ru-RU"/>
        </w:rPr>
        <w:t xml:space="preserve">, ул. Энергетиков, д. 2 копр.2, Забайкальский край, с. </w:t>
      </w:r>
      <w:proofErr w:type="spellStart"/>
      <w:r w:rsidRPr="00BF4FD1">
        <w:rPr>
          <w:sz w:val="28"/>
          <w:szCs w:val="28"/>
          <w:lang w:bidi="ru-RU"/>
        </w:rPr>
        <w:t>Новоильинск</w:t>
      </w:r>
      <w:proofErr w:type="spellEnd"/>
      <w:r w:rsidRPr="00BF4FD1">
        <w:rPr>
          <w:sz w:val="28"/>
          <w:szCs w:val="28"/>
          <w:lang w:bidi="ru-RU"/>
        </w:rPr>
        <w:t xml:space="preserve">, ул. Центральная. д.54, Забайкальский край, с. </w:t>
      </w:r>
      <w:proofErr w:type="spellStart"/>
      <w:r w:rsidRPr="00BF4FD1">
        <w:rPr>
          <w:sz w:val="28"/>
          <w:szCs w:val="28"/>
          <w:lang w:bidi="ru-RU"/>
        </w:rPr>
        <w:t>Байгул</w:t>
      </w:r>
      <w:proofErr w:type="spellEnd"/>
      <w:r w:rsidRPr="00BF4FD1">
        <w:rPr>
          <w:sz w:val="28"/>
          <w:szCs w:val="28"/>
          <w:lang w:bidi="ru-RU"/>
        </w:rPr>
        <w:t xml:space="preserve">, ул. Молодежная, д.8, Забайкальский край, с. Бушулей, ул. Железнодорожная, д.7 корп. 8, Забайкальский край с. </w:t>
      </w:r>
      <w:proofErr w:type="spellStart"/>
      <w:r w:rsidRPr="00BF4FD1">
        <w:rPr>
          <w:sz w:val="28"/>
          <w:szCs w:val="28"/>
          <w:lang w:bidi="ru-RU"/>
        </w:rPr>
        <w:t>Курлыч</w:t>
      </w:r>
      <w:proofErr w:type="spellEnd"/>
      <w:r w:rsidRPr="00BF4FD1">
        <w:rPr>
          <w:sz w:val="28"/>
          <w:szCs w:val="28"/>
          <w:lang w:bidi="ru-RU"/>
        </w:rPr>
        <w:t>, ул. Еланская, д.20.</w:t>
      </w:r>
    </w:p>
    <w:p w:rsidR="00BF4FD1" w:rsidRPr="00BF4FD1" w:rsidRDefault="00BF4FD1" w:rsidP="00BF4FD1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 w:rsidRPr="00BF4FD1">
        <w:rPr>
          <w:sz w:val="28"/>
          <w:szCs w:val="28"/>
          <w:lang w:bidi="ru-RU"/>
        </w:rPr>
        <w:t>3. Настоящее решение вступает в силу после его официального опубликования и распространяет свое действие на правоотношения, возникшие с 01.11.2025 года.</w:t>
      </w:r>
    </w:p>
    <w:p w:rsidR="00BF4FD1" w:rsidRPr="00BF4FD1" w:rsidRDefault="00BF4FD1" w:rsidP="00BF4FD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BF4FD1" w:rsidRPr="00BF4FD1" w:rsidRDefault="00BF4FD1" w:rsidP="00BF4FD1">
      <w:pPr>
        <w:spacing w:after="200" w:line="276" w:lineRule="auto"/>
        <w:ind w:left="568"/>
        <w:rPr>
          <w:rFonts w:ascii="Calibri" w:hAnsi="Calibri"/>
          <w:sz w:val="28"/>
          <w:szCs w:val="28"/>
        </w:rPr>
      </w:pPr>
    </w:p>
    <w:p w:rsidR="00BF4FD1" w:rsidRPr="00BF4FD1" w:rsidRDefault="00BF4FD1" w:rsidP="00BF4FD1">
      <w:pPr>
        <w:spacing w:after="200" w:line="276" w:lineRule="auto"/>
        <w:ind w:left="568"/>
        <w:rPr>
          <w:rFonts w:ascii="Calibri" w:hAnsi="Calibri"/>
          <w:sz w:val="28"/>
          <w:szCs w:val="28"/>
        </w:rPr>
      </w:pPr>
    </w:p>
    <w:p w:rsidR="00BF4FD1" w:rsidRPr="00BF4FD1" w:rsidRDefault="00BF4FD1" w:rsidP="00BF4FD1">
      <w:pPr>
        <w:rPr>
          <w:i/>
          <w:sz w:val="28"/>
          <w:szCs w:val="28"/>
        </w:rPr>
      </w:pPr>
      <w:r w:rsidRPr="00BF4FD1">
        <w:rPr>
          <w:sz w:val="28"/>
          <w:szCs w:val="28"/>
        </w:rPr>
        <w:t>Глава муниципального района</w:t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  <w:t>А.В. Подойницын</w:t>
      </w:r>
    </w:p>
    <w:p w:rsidR="00BF4FD1" w:rsidRPr="00BF4FD1" w:rsidRDefault="00BF4FD1" w:rsidP="00BF4FD1">
      <w:pPr>
        <w:rPr>
          <w:rFonts w:eastAsia="TimesNewRomanPSMT"/>
          <w:b/>
          <w:sz w:val="28"/>
          <w:szCs w:val="28"/>
        </w:rPr>
      </w:pPr>
      <w:r w:rsidRPr="00BF4FD1">
        <w:rPr>
          <w:sz w:val="28"/>
          <w:szCs w:val="28"/>
        </w:rPr>
        <w:t>«Чернышевский район»</w:t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</w:r>
      <w:r w:rsidRPr="00BF4FD1">
        <w:rPr>
          <w:sz w:val="28"/>
          <w:szCs w:val="28"/>
        </w:rPr>
        <w:tab/>
        <w:t xml:space="preserve">                              </w:t>
      </w:r>
      <w:r w:rsidRPr="00BF4FD1">
        <w:rPr>
          <w:sz w:val="28"/>
          <w:szCs w:val="28"/>
        </w:rPr>
        <w:tab/>
      </w:r>
    </w:p>
    <w:p w:rsidR="00BF4FD1" w:rsidRPr="00BF4FD1" w:rsidRDefault="00BF4FD1" w:rsidP="00BF4FD1">
      <w:pPr>
        <w:rPr>
          <w:rFonts w:eastAsia="TimesNewRomanPSMT"/>
          <w:b/>
          <w:sz w:val="28"/>
          <w:szCs w:val="28"/>
        </w:rPr>
      </w:pPr>
    </w:p>
    <w:p w:rsidR="00BF4FD1" w:rsidRPr="00BF4FD1" w:rsidRDefault="00BF4FD1" w:rsidP="00BF4FD1">
      <w:pPr>
        <w:rPr>
          <w:rFonts w:eastAsia="TimesNewRomanPSMT"/>
          <w:b/>
          <w:sz w:val="28"/>
          <w:szCs w:val="28"/>
        </w:rPr>
      </w:pPr>
    </w:p>
    <w:p w:rsidR="00BF4FD1" w:rsidRPr="00BF4FD1" w:rsidRDefault="00BF4FD1" w:rsidP="00BF4FD1">
      <w:pPr>
        <w:rPr>
          <w:rFonts w:eastAsia="TimesNewRomanPSMT"/>
          <w:b/>
          <w:sz w:val="28"/>
          <w:szCs w:val="28"/>
        </w:rPr>
      </w:pPr>
    </w:p>
    <w:p w:rsidR="00BF4FD1" w:rsidRPr="00BF4FD1" w:rsidRDefault="00BF4FD1" w:rsidP="00BF4FD1">
      <w:pPr>
        <w:autoSpaceDE w:val="0"/>
        <w:autoSpaceDN w:val="0"/>
        <w:adjustRightInd w:val="0"/>
        <w:spacing w:after="200" w:line="276" w:lineRule="auto"/>
        <w:rPr>
          <w:rFonts w:ascii="Calibri" w:eastAsia="TimesNewRomanPSMT" w:hAnsi="Calibri"/>
          <w:b/>
          <w:sz w:val="22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  <w:r w:rsidRPr="00BF4FD1">
        <w:rPr>
          <w:sz w:val="20"/>
          <w:szCs w:val="22"/>
        </w:rPr>
        <w:t xml:space="preserve">                                                                                                                                    </w:t>
      </w: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</w:p>
    <w:p w:rsidR="00BF4FD1" w:rsidRP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  <w:r w:rsidRPr="00BF4FD1">
        <w:rPr>
          <w:sz w:val="20"/>
          <w:szCs w:val="22"/>
        </w:rPr>
        <w:lastRenderedPageBreak/>
        <w:t xml:space="preserve"> Приложение № 1</w:t>
      </w:r>
    </w:p>
    <w:p w:rsidR="00BF4FD1" w:rsidRP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  <w:r w:rsidRPr="00BF4FD1">
        <w:rPr>
          <w:sz w:val="20"/>
          <w:szCs w:val="22"/>
        </w:rPr>
        <w:t xml:space="preserve"> к Решению Совета Чернышевского </w:t>
      </w:r>
    </w:p>
    <w:p w:rsidR="00BF4FD1" w:rsidRPr="00BF4FD1" w:rsidRDefault="00BF4FD1" w:rsidP="00BF4FD1">
      <w:pPr>
        <w:tabs>
          <w:tab w:val="left" w:pos="6787"/>
        </w:tabs>
        <w:spacing w:line="276" w:lineRule="auto"/>
        <w:jc w:val="right"/>
        <w:rPr>
          <w:sz w:val="20"/>
          <w:szCs w:val="22"/>
        </w:rPr>
      </w:pPr>
      <w:r w:rsidRPr="00BF4FD1">
        <w:rPr>
          <w:sz w:val="20"/>
          <w:szCs w:val="22"/>
        </w:rPr>
        <w:t>муниципального округа</w:t>
      </w:r>
    </w:p>
    <w:p w:rsidR="00BF4FD1" w:rsidRPr="00BF4FD1" w:rsidRDefault="00BF4FD1" w:rsidP="00BF4FD1">
      <w:pPr>
        <w:tabs>
          <w:tab w:val="left" w:pos="6950"/>
        </w:tabs>
        <w:spacing w:after="200" w:line="276" w:lineRule="auto"/>
        <w:rPr>
          <w:sz w:val="18"/>
          <w:szCs w:val="22"/>
        </w:rPr>
      </w:pPr>
    </w:p>
    <w:p w:rsidR="00BF4FD1" w:rsidRPr="00BF4FD1" w:rsidRDefault="00BF4FD1" w:rsidP="00BF4FD1">
      <w:pPr>
        <w:tabs>
          <w:tab w:val="left" w:pos="6950"/>
        </w:tabs>
        <w:spacing w:after="200" w:line="276" w:lineRule="auto"/>
        <w:rPr>
          <w:sz w:val="28"/>
          <w:szCs w:val="28"/>
        </w:rPr>
      </w:pPr>
    </w:p>
    <w:p w:rsidR="00BF4FD1" w:rsidRPr="00BF4FD1" w:rsidRDefault="00BF4FD1" w:rsidP="00BF4FD1">
      <w:pPr>
        <w:jc w:val="center"/>
        <w:rPr>
          <w:b/>
          <w:sz w:val="28"/>
          <w:szCs w:val="28"/>
        </w:rPr>
      </w:pPr>
      <w:r w:rsidRPr="00BF4FD1">
        <w:rPr>
          <w:b/>
          <w:sz w:val="28"/>
          <w:szCs w:val="28"/>
        </w:rPr>
        <w:t>Расчет стоимости питания детей в муниципальных образовательных организациях Чернышевского муниципального округа с наличием интерната, с учетом рекомендуемых норм питания детей в интернатах</w:t>
      </w:r>
    </w:p>
    <w:p w:rsidR="00BF4FD1" w:rsidRPr="00BF4FD1" w:rsidRDefault="00BF4FD1" w:rsidP="00BF4FD1">
      <w:pPr>
        <w:spacing w:line="276" w:lineRule="auto"/>
        <w:jc w:val="both"/>
        <w:rPr>
          <w:sz w:val="28"/>
          <w:szCs w:val="28"/>
        </w:rPr>
      </w:pPr>
    </w:p>
    <w:tbl>
      <w:tblPr>
        <w:tblW w:w="9200" w:type="dxa"/>
        <w:tblInd w:w="98" w:type="dxa"/>
        <w:tblLook w:val="04A0" w:firstRow="1" w:lastRow="0" w:firstColumn="1" w:lastColumn="0" w:noHBand="0" w:noVBand="1"/>
      </w:tblPr>
      <w:tblGrid>
        <w:gridCol w:w="3362"/>
        <w:gridCol w:w="1504"/>
        <w:gridCol w:w="1247"/>
        <w:gridCol w:w="1491"/>
        <w:gridCol w:w="1642"/>
      </w:tblGrid>
      <w:tr w:rsidR="00BF4FD1" w:rsidRPr="00BF4FD1" w:rsidTr="003A527F">
        <w:trPr>
          <w:trHeight w:val="11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Наименование продукта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D1" w:rsidRPr="00BF4FD1" w:rsidRDefault="00BF4FD1" w:rsidP="00BF4FD1">
            <w:pPr>
              <w:jc w:val="center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Норма СанПиНа в граммах на 1 ребенка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D1" w:rsidRPr="00BF4FD1" w:rsidRDefault="00BF4FD1" w:rsidP="00BF4FD1">
            <w:pPr>
              <w:jc w:val="center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Кол-во дней в среднем за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D1" w:rsidRPr="00BF4FD1" w:rsidRDefault="00BF4FD1" w:rsidP="00BF4FD1">
            <w:pPr>
              <w:jc w:val="center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Стоимость в руб. на 1 ребенка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D1" w:rsidRPr="00BF4FD1" w:rsidRDefault="00BF4FD1" w:rsidP="00BF4FD1">
            <w:pPr>
              <w:jc w:val="center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Норма расхода продуктов в день в руб. на 1 ребенка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18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22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Крупы и макаронные изделия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4,69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31,5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48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Фрукты и ягоды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32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Сладости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5,76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0,35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Масло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49,5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Яйцо (штука)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44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Творог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15,8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43,75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Рыба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16,875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7,1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860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0,17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Кофе (кофейный напиток)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color w:val="000000"/>
                <w:sz w:val="28"/>
                <w:szCs w:val="28"/>
              </w:rPr>
            </w:pPr>
            <w:r w:rsidRPr="00BF4FD1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BF4FD1" w:rsidRPr="00BF4FD1" w:rsidTr="003A527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4FD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4F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4F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4F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D1" w:rsidRPr="00BF4FD1" w:rsidRDefault="00BF4FD1" w:rsidP="00BF4FD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4FD1">
              <w:rPr>
                <w:b/>
                <w:bCs/>
                <w:color w:val="000000"/>
                <w:sz w:val="28"/>
                <w:szCs w:val="28"/>
              </w:rPr>
              <w:t>375</w:t>
            </w:r>
          </w:p>
        </w:tc>
      </w:tr>
    </w:tbl>
    <w:p w:rsidR="002F101C" w:rsidRPr="005C4E2F" w:rsidRDefault="002F101C" w:rsidP="00BF4FD1">
      <w:pPr>
        <w:rPr>
          <w:sz w:val="28"/>
          <w:szCs w:val="28"/>
        </w:rPr>
      </w:pPr>
      <w:bookmarkStart w:id="0" w:name="_GoBack"/>
      <w:bookmarkEnd w:id="0"/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922C48"/>
    <w:rsid w:val="00964F65"/>
    <w:rsid w:val="00B915B7"/>
    <w:rsid w:val="00BF4FD1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2025-11-13T06:19:00Z</dcterms:modified>
</cp:coreProperties>
</file>