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82" w:rsidRDefault="007C7382" w:rsidP="007C7382">
      <w:pPr>
        <w:pStyle w:val="30"/>
        <w:shd w:val="clear" w:color="auto" w:fill="auto"/>
        <w:jc w:val="center"/>
      </w:pPr>
      <w:r>
        <w:t>Пояснительная записка к отчёту об исполнении бюджета муниципального            района «Читинский район» за первый квартал  2021 года</w:t>
      </w:r>
    </w:p>
    <w:p w:rsidR="00DF4356" w:rsidRDefault="00DF4356"/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/>
      </w:pPr>
      <w:r w:rsidRPr="00B421E5">
        <w:rPr>
          <w:rStyle w:val="21"/>
        </w:rPr>
        <w:t>Параметры районного бюджета</w:t>
      </w:r>
      <w:r w:rsidRPr="00B421E5">
        <w:t xml:space="preserve"> характеризуются следующими показателями.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Доходная часть бюджета района за первый квартал  текущего года исполнена в сумме 374401,57 тыс. рублей при годовых бюджетных назначениях 1885428,91тыс. рублей, исполнение составило 19,85%. В сравнении с показателями прошлого года исполнение по доходам районного бюджета составило 112,98% (рост на 43043,16 </w:t>
      </w:r>
      <w:proofErr w:type="spellStart"/>
      <w:r w:rsidRPr="00B421E5">
        <w:t>тыс.руб</w:t>
      </w:r>
      <w:proofErr w:type="spellEnd"/>
      <w:r w:rsidRPr="00B421E5">
        <w:t>. за счет налоговых и неналоговых поступлений).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Структура доходов </w:t>
      </w:r>
      <w:r w:rsidRPr="00B421E5">
        <w:rPr>
          <w:rStyle w:val="21"/>
        </w:rPr>
        <w:t>районного бюджета</w:t>
      </w:r>
      <w:r w:rsidRPr="00B421E5">
        <w:t xml:space="preserve"> характеризуется следующим образом. Налоговые и неналоговые доходы бюджета составили 36,2% от общего объема доходных источников, безвозмездные поступления 63,8% 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Поступление </w:t>
      </w:r>
      <w:r w:rsidRPr="00B421E5">
        <w:rPr>
          <w:rStyle w:val="22"/>
        </w:rPr>
        <w:t xml:space="preserve">налоговых и неналоговых доходов </w:t>
      </w:r>
      <w:r w:rsidRPr="00B421E5">
        <w:t xml:space="preserve">обеспечено в объеме 135572,33 тыс. рублей при утвержденном плане 404171,6 тыс. рублей. Бюджетные назначения исполнены на 33,54% (неисполнение 268599,27 </w:t>
      </w:r>
      <w:proofErr w:type="spellStart"/>
      <w:r w:rsidRPr="00B421E5">
        <w:t>тыс.рублей</w:t>
      </w:r>
      <w:proofErr w:type="spellEnd"/>
      <w:r w:rsidRPr="00B421E5">
        <w:t>).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/>
      </w:pPr>
      <w:r w:rsidRPr="00B421E5">
        <w:t>В сравнении с фактическими показателями прошлого года исполнение по налоговым и неналоговым доходам районного бюджета составило 185,57%.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Превышение в бюджет района по сравнению с аналогичным периодом прошлого года составило в сумму </w:t>
      </w:r>
      <w:r w:rsidRPr="00B421E5">
        <w:rPr>
          <w:b/>
        </w:rPr>
        <w:t>62515,94</w:t>
      </w:r>
      <w:r w:rsidRPr="00B421E5">
        <w:t xml:space="preserve"> </w:t>
      </w:r>
      <w:proofErr w:type="spellStart"/>
      <w:r w:rsidRPr="00B421E5">
        <w:t>тыс.рублей</w:t>
      </w:r>
      <w:proofErr w:type="spellEnd"/>
      <w:r w:rsidRPr="00B421E5">
        <w:t xml:space="preserve">, из них за счёт </w:t>
      </w:r>
      <w:r w:rsidRPr="00B421E5">
        <w:rPr>
          <w:b/>
          <w:i/>
        </w:rPr>
        <w:t>налоговых доходов</w:t>
      </w:r>
      <w:r w:rsidRPr="00B421E5">
        <w:t xml:space="preserve"> 10091,71тыс.рублей (в том числе НДФЛ 5606,16 </w:t>
      </w:r>
      <w:proofErr w:type="spellStart"/>
      <w:r w:rsidRPr="00B421E5">
        <w:t>тыс.рублей</w:t>
      </w:r>
      <w:proofErr w:type="spellEnd"/>
      <w:r w:rsidRPr="00B421E5">
        <w:t xml:space="preserve">, за счёт налога УСН в сумме 3444,29 </w:t>
      </w:r>
      <w:proofErr w:type="spellStart"/>
      <w:r w:rsidRPr="00B421E5">
        <w:t>тыс.рублей</w:t>
      </w:r>
      <w:proofErr w:type="spellEnd"/>
      <w:r w:rsidRPr="00B421E5">
        <w:t xml:space="preserve">, за счёт сельскохозяйственного  налога в сумме 141,97 </w:t>
      </w:r>
      <w:proofErr w:type="spellStart"/>
      <w:r w:rsidRPr="00B421E5">
        <w:t>тыс.рублей</w:t>
      </w:r>
      <w:proofErr w:type="spellEnd"/>
      <w:r w:rsidRPr="00B421E5">
        <w:t xml:space="preserve">. за счёт налога, взимаемый в связи с применением патентной системы налогообложения в сумме 898,73 </w:t>
      </w:r>
      <w:proofErr w:type="spellStart"/>
      <w:r w:rsidRPr="00B421E5">
        <w:t>тыс.рублей</w:t>
      </w:r>
      <w:proofErr w:type="spellEnd"/>
      <w:r w:rsidRPr="00B421E5">
        <w:t xml:space="preserve">), по задолженности и перерасчётам по отмененным налогам, сборам и иным обязательным платежам  0,57 </w:t>
      </w:r>
      <w:proofErr w:type="spellStart"/>
      <w:r w:rsidRPr="00B421E5">
        <w:t>тыс.рублей</w:t>
      </w:r>
      <w:proofErr w:type="spellEnd"/>
      <w:r w:rsidRPr="00B421E5">
        <w:t>;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rPr>
          <w:b/>
          <w:i/>
        </w:rPr>
        <w:t xml:space="preserve">неналоговых </w:t>
      </w:r>
      <w:proofErr w:type="gramStart"/>
      <w:r w:rsidRPr="00B421E5">
        <w:rPr>
          <w:b/>
          <w:i/>
        </w:rPr>
        <w:t>доходов</w:t>
      </w:r>
      <w:r w:rsidRPr="00B421E5">
        <w:t xml:space="preserve">  55118</w:t>
      </w:r>
      <w:proofErr w:type="gramEnd"/>
      <w:r w:rsidRPr="00B421E5">
        <w:t xml:space="preserve">,21    </w:t>
      </w:r>
      <w:proofErr w:type="spellStart"/>
      <w:r w:rsidRPr="00B421E5">
        <w:t>тыс.рублей</w:t>
      </w:r>
      <w:proofErr w:type="spellEnd"/>
      <w:r w:rsidRPr="00B421E5">
        <w:t xml:space="preserve"> (в том числе  доходов от использования имущества, находящегося в государственной и муниципальной собственности 3209,83 </w:t>
      </w:r>
      <w:proofErr w:type="spellStart"/>
      <w:r w:rsidRPr="00B421E5">
        <w:t>тыс.рублей</w:t>
      </w:r>
      <w:proofErr w:type="spellEnd"/>
      <w:r w:rsidRPr="00B421E5">
        <w:t xml:space="preserve">, за счёт штрафов в сумме 51523,34 </w:t>
      </w:r>
      <w:proofErr w:type="spellStart"/>
      <w:r w:rsidRPr="00B421E5">
        <w:t>тыс.рублей</w:t>
      </w:r>
      <w:proofErr w:type="spellEnd"/>
      <w:r w:rsidRPr="00B421E5">
        <w:t xml:space="preserve">. за счёт прочих неналоговых доходов в сумме 655,02 </w:t>
      </w:r>
      <w:proofErr w:type="spellStart"/>
      <w:r w:rsidRPr="00B421E5">
        <w:t>тыс.рублей</w:t>
      </w:r>
      <w:proofErr w:type="spellEnd"/>
      <w:r w:rsidRPr="00B421E5">
        <w:t xml:space="preserve">.  </w:t>
      </w:r>
      <w:r w:rsidRPr="00B421E5">
        <w:rPr>
          <w:b/>
          <w:i/>
        </w:rPr>
        <w:t>Снижение поступлений</w:t>
      </w:r>
      <w:r w:rsidRPr="00B421E5">
        <w:t xml:space="preserve"> по сравнению с аналогичным периодом за 2020 год составило в сумме 2693,97 </w:t>
      </w:r>
      <w:proofErr w:type="spellStart"/>
      <w:r w:rsidRPr="00B421E5">
        <w:t>тыс.рублей</w:t>
      </w:r>
      <w:proofErr w:type="spellEnd"/>
      <w:r w:rsidRPr="00B421E5">
        <w:t xml:space="preserve"> в том числе: (по акцизам уменьшение на сумму -72,27 тыс. рублей, по налогу ЕНВД уменьшение на -116,41 тыс. рублей, по налогу на добычу общераспространенных полезных ископаемых снижение на сумму -1182,52 </w:t>
      </w:r>
      <w:proofErr w:type="spellStart"/>
      <w:r w:rsidRPr="00B421E5">
        <w:t>тыс.рублей</w:t>
      </w:r>
      <w:proofErr w:type="spellEnd"/>
      <w:r w:rsidRPr="00B421E5">
        <w:t xml:space="preserve"> , по </w:t>
      </w:r>
      <w:proofErr w:type="spellStart"/>
      <w:r w:rsidRPr="00B421E5">
        <w:t>гос.пошлине</w:t>
      </w:r>
      <w:proofErr w:type="spellEnd"/>
      <w:r w:rsidRPr="00B421E5">
        <w:t xml:space="preserve"> -0,418 </w:t>
      </w:r>
      <w:proofErr w:type="spellStart"/>
      <w:r w:rsidRPr="00B421E5">
        <w:t>тыс.рублей</w:t>
      </w:r>
      <w:proofErr w:type="spellEnd"/>
      <w:r w:rsidRPr="00B421E5">
        <w:t xml:space="preserve">, по платежам при  пользовании природными ресурсами уменьшение на сумму -424,67 тыс. рублей, по поступлениям от доходов от продажи материальных и нематериальных активов -897,66 </w:t>
      </w:r>
      <w:proofErr w:type="spellStart"/>
      <w:r w:rsidRPr="00B421E5">
        <w:t>тыс.рублей</w:t>
      </w:r>
      <w:proofErr w:type="spellEnd"/>
      <w:r w:rsidRPr="00B421E5">
        <w:t>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/>
      </w:pP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Удельный вес </w:t>
      </w:r>
      <w:r w:rsidRPr="00B421E5">
        <w:rPr>
          <w:rStyle w:val="22"/>
        </w:rPr>
        <w:t xml:space="preserve">налоговых доходов </w:t>
      </w:r>
      <w:r w:rsidRPr="00B421E5">
        <w:t>в общей сумме поступлений налоговых и неналоговых доходов района составил 55,15%, неналоговых – 44,84%.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 w:firstLine="423"/>
      </w:pPr>
      <w:r w:rsidRPr="00B421E5">
        <w:t xml:space="preserve">Фактические поступления </w:t>
      </w:r>
      <w:r w:rsidRPr="00B421E5">
        <w:rPr>
          <w:rStyle w:val="22"/>
        </w:rPr>
        <w:t xml:space="preserve">налоговых </w:t>
      </w:r>
      <w:r w:rsidRPr="00B421E5">
        <w:t xml:space="preserve">доходов составили </w:t>
      </w:r>
      <w:r w:rsidRPr="00B421E5">
        <w:rPr>
          <w:rStyle w:val="22"/>
        </w:rPr>
        <w:t xml:space="preserve">74775,26 </w:t>
      </w:r>
      <w:r w:rsidRPr="00B421E5">
        <w:t xml:space="preserve">тыс. рублей или 55,15% от поступлений </w:t>
      </w:r>
      <w:r w:rsidR="007D2BA1">
        <w:t>налоговых и неналоговых доходов</w:t>
      </w:r>
      <w:r w:rsidRPr="00B421E5">
        <w:t xml:space="preserve">. Бюджетные назначения первого квартал исполнены на 104,7% или увеличение на 3355,4 </w:t>
      </w:r>
      <w:proofErr w:type="spellStart"/>
      <w:r w:rsidRPr="00B421E5">
        <w:t>тыс.рублей</w:t>
      </w:r>
      <w:proofErr w:type="spellEnd"/>
      <w:r w:rsidRPr="00B421E5">
        <w:t xml:space="preserve">, в основном за счёт поступления доходов от уплаты НДФЛ за 2020г.  К уровню первого квартала прошлого года исполнение составило 113,2% (на 8720,1 </w:t>
      </w:r>
      <w:proofErr w:type="spellStart"/>
      <w:r w:rsidRPr="00B421E5">
        <w:t>т.р</w:t>
      </w:r>
      <w:proofErr w:type="spellEnd"/>
      <w:r w:rsidRPr="00B421E5">
        <w:t>).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left="993"/>
      </w:pPr>
      <w:r w:rsidRPr="00B421E5">
        <w:t>Не исполнены бюджетные назначения по следующим источникам: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993"/>
      </w:pPr>
      <w:r w:rsidRPr="00B421E5">
        <w:t>по единому налогу на вмененный доход исполнение составило 57,4%, (</w:t>
      </w:r>
      <w:proofErr w:type="spellStart"/>
      <w:r w:rsidRPr="00B421E5">
        <w:t>недопоступило</w:t>
      </w:r>
      <w:proofErr w:type="spellEnd"/>
      <w:r w:rsidRPr="00B421E5">
        <w:t xml:space="preserve"> 1108,7 </w:t>
      </w:r>
      <w:proofErr w:type="spellStart"/>
      <w:r w:rsidRPr="00B421E5">
        <w:t>тыс.рублей</w:t>
      </w:r>
      <w:proofErr w:type="spellEnd"/>
      <w:r w:rsidRPr="00B421E5">
        <w:t>);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993"/>
      </w:pPr>
      <w:r w:rsidRPr="00B421E5">
        <w:t xml:space="preserve">по государственной пошлине </w:t>
      </w:r>
      <w:proofErr w:type="spellStart"/>
      <w:r w:rsidRPr="00B421E5">
        <w:t>недопоступило</w:t>
      </w:r>
      <w:proofErr w:type="spellEnd"/>
      <w:r w:rsidRPr="00B421E5">
        <w:t xml:space="preserve"> 7,0 </w:t>
      </w:r>
      <w:proofErr w:type="spellStart"/>
      <w:r w:rsidRPr="00B421E5">
        <w:t>тыс.рублей</w:t>
      </w:r>
      <w:proofErr w:type="spellEnd"/>
      <w:r w:rsidRPr="00B421E5">
        <w:t xml:space="preserve"> 95,5%;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line="240" w:lineRule="auto"/>
        <w:ind w:left="993"/>
      </w:pPr>
      <w:r w:rsidRPr="00B421E5">
        <w:t xml:space="preserve">по налогу на добычу полезных ископаемых не выполнен план. Исполнение составило -284,2 </w:t>
      </w:r>
      <w:proofErr w:type="spellStart"/>
      <w:r w:rsidRPr="00B421E5">
        <w:t>тыс.рублей</w:t>
      </w:r>
      <w:proofErr w:type="spellEnd"/>
      <w:r w:rsidRPr="00B421E5">
        <w:t>.</w:t>
      </w:r>
    </w:p>
    <w:p w:rsidR="007C7382" w:rsidRPr="00B421E5" w:rsidRDefault="007C7382" w:rsidP="00B421E5">
      <w:pPr>
        <w:rPr>
          <w:rFonts w:ascii="Times New Roman" w:hAnsi="Times New Roman" w:cs="Times New Roman"/>
          <w:sz w:val="26"/>
          <w:szCs w:val="26"/>
        </w:rPr>
        <w:sectPr w:rsidR="007C7382" w:rsidRPr="00B421E5" w:rsidSect="000810A5">
          <w:pgSz w:w="11906" w:h="16838"/>
          <w:pgMar w:top="360" w:right="991" w:bottom="360" w:left="360" w:header="0" w:footer="0" w:gutter="0"/>
          <w:cols w:space="720"/>
          <w:formProt w:val="0"/>
          <w:docGrid w:linePitch="360"/>
        </w:sectPr>
      </w:pP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588"/>
        </w:tabs>
        <w:spacing w:before="0" w:line="240" w:lineRule="auto"/>
        <w:ind w:firstLine="400"/>
      </w:pPr>
      <w:r w:rsidRPr="00B421E5">
        <w:lastRenderedPageBreak/>
        <w:t xml:space="preserve">по доходам от продажи материальных и нематериальных активов </w:t>
      </w:r>
      <w:proofErr w:type="spellStart"/>
      <w:r w:rsidRPr="00B421E5">
        <w:t>недопоступила</w:t>
      </w:r>
      <w:proofErr w:type="spellEnd"/>
      <w:r w:rsidRPr="00B421E5">
        <w:t xml:space="preserve"> сумма в размере 896,8 </w:t>
      </w:r>
      <w:proofErr w:type="spellStart"/>
      <w:r w:rsidRPr="00B421E5">
        <w:t>тыс.рублей</w:t>
      </w:r>
      <w:proofErr w:type="spellEnd"/>
      <w:r w:rsidRPr="00B421E5">
        <w:t xml:space="preserve"> (46,7%)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firstLine="400"/>
      </w:pPr>
      <w:r w:rsidRPr="00B421E5">
        <w:t xml:space="preserve">Фактические поступления </w:t>
      </w:r>
      <w:r w:rsidRPr="00B421E5">
        <w:rPr>
          <w:rStyle w:val="22"/>
        </w:rPr>
        <w:t xml:space="preserve">неналоговых доходов составили 60797,07 </w:t>
      </w:r>
      <w:proofErr w:type="spellStart"/>
      <w:r w:rsidRPr="00B421E5">
        <w:rPr>
          <w:rStyle w:val="22"/>
        </w:rPr>
        <w:t>тыс.рублей</w:t>
      </w:r>
      <w:proofErr w:type="spellEnd"/>
      <w:r w:rsidRPr="00B421E5">
        <w:rPr>
          <w:rStyle w:val="22"/>
        </w:rPr>
        <w:t xml:space="preserve"> </w:t>
      </w:r>
      <w:r w:rsidRPr="00B421E5">
        <w:t>или 44,84% от поступлений налоговых и неналоговых доходов.</w:t>
      </w:r>
    </w:p>
    <w:p w:rsidR="007C7382" w:rsidRPr="00B421E5" w:rsidRDefault="007C7382" w:rsidP="00B421E5">
      <w:pPr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421E5">
        <w:rPr>
          <w:rFonts w:ascii="Times New Roman" w:hAnsi="Times New Roman" w:cs="Times New Roman"/>
          <w:sz w:val="26"/>
          <w:szCs w:val="26"/>
        </w:rPr>
        <w:t xml:space="preserve">Фактические </w:t>
      </w:r>
      <w:proofErr w:type="gramStart"/>
      <w:r w:rsidRPr="00B421E5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Pr="00B421E5">
        <w:rPr>
          <w:rFonts w:ascii="Times New Roman" w:hAnsi="Times New Roman" w:cs="Times New Roman"/>
          <w:b/>
          <w:sz w:val="26"/>
          <w:szCs w:val="26"/>
        </w:rPr>
        <w:t xml:space="preserve"> неналоговых</w:t>
      </w:r>
      <w:proofErr w:type="gramEnd"/>
      <w:r w:rsidRPr="00B421E5">
        <w:rPr>
          <w:rFonts w:ascii="Times New Roman" w:hAnsi="Times New Roman" w:cs="Times New Roman"/>
          <w:b/>
          <w:sz w:val="26"/>
          <w:szCs w:val="26"/>
        </w:rPr>
        <w:t xml:space="preserve"> доходов составили 60797,1 </w:t>
      </w:r>
      <w:proofErr w:type="spellStart"/>
      <w:r w:rsidRPr="00B421E5">
        <w:rPr>
          <w:rFonts w:ascii="Times New Roman" w:hAnsi="Times New Roman" w:cs="Times New Roman"/>
          <w:b/>
          <w:sz w:val="26"/>
          <w:szCs w:val="26"/>
        </w:rPr>
        <w:t>тыс.рублей</w:t>
      </w:r>
      <w:proofErr w:type="spellEnd"/>
      <w:r w:rsidRPr="00B421E5">
        <w:rPr>
          <w:rFonts w:ascii="Times New Roman" w:hAnsi="Times New Roman" w:cs="Times New Roman"/>
          <w:sz w:val="26"/>
          <w:szCs w:val="26"/>
        </w:rPr>
        <w:t xml:space="preserve"> или 44,8%  от поступлений налоговых и неналоговых доходов при плановых бюджетных назначениях в размере 6790,0 </w:t>
      </w:r>
      <w:proofErr w:type="spellStart"/>
      <w:r w:rsidRPr="00B421E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B421E5">
        <w:rPr>
          <w:rFonts w:ascii="Times New Roman" w:hAnsi="Times New Roman" w:cs="Times New Roman"/>
          <w:sz w:val="26"/>
          <w:szCs w:val="26"/>
        </w:rPr>
        <w:t xml:space="preserve">. Бюджетные назначения первого квартала </w:t>
      </w:r>
      <w:proofErr w:type="gramStart"/>
      <w:r w:rsidRPr="00B421E5">
        <w:rPr>
          <w:rFonts w:ascii="Times New Roman" w:hAnsi="Times New Roman" w:cs="Times New Roman"/>
          <w:sz w:val="26"/>
          <w:szCs w:val="26"/>
        </w:rPr>
        <w:t>исполнены  на</w:t>
      </w:r>
      <w:proofErr w:type="gramEnd"/>
      <w:r w:rsidRPr="00B421E5">
        <w:rPr>
          <w:rFonts w:ascii="Times New Roman" w:hAnsi="Times New Roman" w:cs="Times New Roman"/>
          <w:sz w:val="26"/>
          <w:szCs w:val="26"/>
        </w:rPr>
        <w:t xml:space="preserve"> 895,4% . По сравнению с первым кварталом прошлого года  неналоговые доходы увеличились  на 53795,9 тыс</w:t>
      </w:r>
      <w:r w:rsidRPr="00B421E5">
        <w:rPr>
          <w:rFonts w:ascii="Times New Roman" w:hAnsi="Times New Roman" w:cs="Times New Roman"/>
          <w:b/>
          <w:sz w:val="26"/>
          <w:szCs w:val="26"/>
        </w:rPr>
        <w:t>.</w:t>
      </w:r>
      <w:r w:rsidRPr="00B421E5">
        <w:rPr>
          <w:rFonts w:ascii="Times New Roman" w:hAnsi="Times New Roman" w:cs="Times New Roman"/>
          <w:sz w:val="26"/>
          <w:szCs w:val="26"/>
        </w:rPr>
        <w:t xml:space="preserve"> рублей, за счет от поступления штрафов в сумме 51988,25 тыс. рублей от  ООО Кварц по платежам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образования. И за счёт увеличения доходов от использования имущества поступления составили в сумме 7140,8 тыс. рублей при плановых бюджетных назначениях 4076, тыс. рублей.</w:t>
      </w:r>
    </w:p>
    <w:p w:rsidR="007C7382" w:rsidRPr="00B421E5" w:rsidRDefault="007C7382" w:rsidP="00B421E5">
      <w:pPr>
        <w:pStyle w:val="20"/>
        <w:shd w:val="clear" w:color="auto" w:fill="auto"/>
        <w:spacing w:before="0" w:line="240" w:lineRule="auto"/>
        <w:ind w:firstLine="400"/>
      </w:pPr>
      <w:bookmarkStart w:id="0" w:name="_GoBack1"/>
      <w:bookmarkEnd w:id="0"/>
      <w:r w:rsidRPr="00B421E5">
        <w:rPr>
          <w:rStyle w:val="22"/>
        </w:rPr>
        <w:t xml:space="preserve">Безвозмездные поступления </w:t>
      </w:r>
      <w:r w:rsidRPr="00B421E5">
        <w:t xml:space="preserve">составили 238829,24 тыс. рублей или 16,12 </w:t>
      </w:r>
      <w:r w:rsidRPr="00B421E5">
        <w:rPr>
          <w:rStyle w:val="21"/>
        </w:rPr>
        <w:t>%</w:t>
      </w:r>
      <w:r w:rsidRPr="00B421E5">
        <w:t xml:space="preserve"> от плановых назначений, в том числе:</w:t>
      </w:r>
    </w:p>
    <w:p w:rsidR="007C7382" w:rsidRPr="00B421E5" w:rsidRDefault="007C7382" w:rsidP="00B421E5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before="0" w:line="240" w:lineRule="auto"/>
        <w:ind w:firstLine="400"/>
      </w:pPr>
      <w:r w:rsidRPr="00B421E5">
        <w:t>безвозмездные поступления от других бюджетов бюджетной системы Российской Федерации — 239409,2 тыс. рублей, из них: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40" w:lineRule="auto"/>
        <w:ind w:firstLine="400"/>
      </w:pPr>
      <w:r w:rsidRPr="00B421E5">
        <w:t xml:space="preserve">дотации на выравнивание бюджетной обеспеченности 27368 </w:t>
      </w:r>
      <w:proofErr w:type="spellStart"/>
      <w:r w:rsidRPr="00B421E5">
        <w:t>тыс.рублей</w:t>
      </w:r>
      <w:proofErr w:type="spellEnd"/>
      <w:r w:rsidRPr="00B421E5">
        <w:t xml:space="preserve"> или 11,43 %,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33"/>
        </w:tabs>
        <w:spacing w:before="0" w:line="240" w:lineRule="auto"/>
        <w:ind w:firstLine="400"/>
      </w:pPr>
      <w:r w:rsidRPr="00B421E5">
        <w:t xml:space="preserve">субсидии 32731,29 </w:t>
      </w:r>
      <w:proofErr w:type="spellStart"/>
      <w:r w:rsidRPr="00B421E5">
        <w:t>тыс.рублей</w:t>
      </w:r>
      <w:proofErr w:type="spellEnd"/>
      <w:r w:rsidRPr="00B421E5">
        <w:t xml:space="preserve"> или 13,67 %,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before="0" w:line="240" w:lineRule="auto"/>
        <w:ind w:firstLine="400"/>
      </w:pPr>
      <w:r w:rsidRPr="00B421E5">
        <w:t xml:space="preserve">субвенции 163721,87 </w:t>
      </w:r>
      <w:proofErr w:type="spellStart"/>
      <w:r w:rsidRPr="00B421E5">
        <w:t>тыс.рублей</w:t>
      </w:r>
      <w:proofErr w:type="spellEnd"/>
      <w:r w:rsidRPr="00B421E5">
        <w:t xml:space="preserve"> или 68,38 %,</w:t>
      </w:r>
    </w:p>
    <w:p w:rsidR="007C7382" w:rsidRPr="00B421E5" w:rsidRDefault="007C7382" w:rsidP="00B421E5">
      <w:pPr>
        <w:pStyle w:val="20"/>
        <w:numPr>
          <w:ilvl w:val="0"/>
          <w:numId w:val="1"/>
        </w:numPr>
        <w:shd w:val="clear" w:color="auto" w:fill="auto"/>
        <w:tabs>
          <w:tab w:val="left" w:pos="638"/>
        </w:tabs>
        <w:spacing w:before="0" w:line="240" w:lineRule="auto"/>
        <w:ind w:firstLine="400"/>
      </w:pPr>
      <w:r w:rsidRPr="00B421E5">
        <w:t xml:space="preserve">иные межбюджетные трансферты 15588,03 </w:t>
      </w:r>
      <w:proofErr w:type="spellStart"/>
      <w:r w:rsidRPr="00B421E5">
        <w:t>тыс.рублей</w:t>
      </w:r>
      <w:proofErr w:type="spellEnd"/>
      <w:r w:rsidRPr="00B421E5">
        <w:t xml:space="preserve"> или 6,51%;</w:t>
      </w:r>
    </w:p>
    <w:p w:rsidR="007C7382" w:rsidRPr="00B421E5" w:rsidRDefault="007C7382" w:rsidP="00B421E5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before="0" w:line="240" w:lineRule="auto"/>
        <w:ind w:firstLine="400"/>
      </w:pPr>
      <w:r w:rsidRPr="00B421E5"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— 579,86 тыс. рублей или 100 %;</w:t>
      </w:r>
    </w:p>
    <w:p w:rsidR="00B86CDB" w:rsidRDefault="00B86CDB">
      <w:pPr>
        <w:rPr>
          <w:sz w:val="2"/>
          <w:szCs w:val="2"/>
        </w:rPr>
      </w:pPr>
    </w:p>
    <w:p w:rsid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B86CDB" w:rsidRPr="00B86CDB" w:rsidRDefault="00B86CDB" w:rsidP="00B86CDB">
      <w:pPr>
        <w:rPr>
          <w:sz w:val="2"/>
          <w:szCs w:val="2"/>
        </w:rPr>
      </w:pPr>
    </w:p>
    <w:p w:rsidR="007D2BA1" w:rsidRPr="007D2BA1" w:rsidRDefault="00B86CDB" w:rsidP="00B86CDB">
      <w:pPr>
        <w:tabs>
          <w:tab w:val="left" w:pos="2297"/>
        </w:tabs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</w:t>
      </w:r>
      <w:r w:rsidR="007D2BA1" w:rsidRPr="007D2BA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Расходная часть бюджета </w:t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муниципального района «Читинский район» за </w:t>
      </w:r>
      <w:r w:rsidR="00422B9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первый</w:t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 2021 года исполнена в сумме 414773,3 тыс. рублей при уточненном плане 1884458,97 тыс. рублей, процент исполнения составил 22 %.</w:t>
      </w:r>
    </w:p>
    <w:p w:rsidR="007D2BA1" w:rsidRPr="007D2BA1" w:rsidRDefault="007D2BA1" w:rsidP="00842A9E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D11B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0100 «Общегосударственные вопросы»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- исполнение на 01 апреля 2021 года составляет 28726,1 тыс. рублей при плане 104326,2 тыс. рублей (27,5 %).</w:t>
      </w:r>
    </w:p>
    <w:p w:rsidR="007D2BA1" w:rsidRPr="007D2BA1" w:rsidRDefault="007D2BA1" w:rsidP="002D11B2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D11B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0102 «Функционирование высшего должностного лица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субъекта Российской Федерации и муниципального образования» при плане 1337,8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финансирование расходов не производилось.</w:t>
      </w:r>
    </w:p>
    <w:p w:rsidR="007D2BA1" w:rsidRPr="007D2BA1" w:rsidRDefault="007D2BA1" w:rsidP="00F10D58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F10D5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0103 «Функционирование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(законодательных) представительных органов государственной власти и представительных органов муниципальных образований» исполнение составило 468,9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плане 1350,12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(34,7 %).</w:t>
      </w:r>
    </w:p>
    <w:p w:rsidR="007D2BA1" w:rsidRPr="007D2BA1" w:rsidRDefault="007D2BA1" w:rsidP="00F10D58">
      <w:pPr>
        <w:spacing w:line="32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F10D5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0104 «Функционирование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высших органов исполнительной власти местных администраций» исполнение за </w:t>
      </w:r>
      <w:r w:rsidR="00422B9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первый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 2021 года составило 6978,6 тыс. рублей при плане 26428,3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(26,4 %).</w:t>
      </w:r>
    </w:p>
    <w:p w:rsidR="007D2BA1" w:rsidRPr="007D2BA1" w:rsidRDefault="007D2BA1" w:rsidP="00F10D58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F10D5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0106 «Обеспечение деятельности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финансовых органов и органов финансового надзора» исполнение за </w:t>
      </w:r>
      <w:r w:rsidR="00422B9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первый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 2021 года составило </w:t>
      </w:r>
      <w:proofErr w:type="gram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>2030,9тыс.рублей</w:t>
      </w:r>
      <w:proofErr w:type="gram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годовых назначениях 9006,45 тыс. рублей, что составляет 22,5 исполнения. В том числе за счет средств субвенций, предоставленных из краевого бюджета на осуществление государственных полномочий по расчету и предоставлению дотаций бюджетам поселений за счет средств бюджета края, а также по установлению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 в соответствии с Законом Забайкальского края от 20 декабря 2011 года № 608-ЗЗК "О межбюджетных отношениях в Забайкальском крае" 69,1 тыс. рублей в расходах Комитета по финансам.</w:t>
      </w:r>
    </w:p>
    <w:p w:rsidR="007D2BA1" w:rsidRPr="007D2BA1" w:rsidRDefault="007D2BA1" w:rsidP="00AA7FF0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AA7FF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0111 «Резервные фонды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 по состоянию на 01 апреля 2021 года в бюджете муниципального района запланирован Резервный фонд администрации муниципального района «Читинский район» в размере 600,0 тыс. рублей.</w:t>
      </w:r>
    </w:p>
    <w:p w:rsidR="007D2BA1" w:rsidRPr="007D2BA1" w:rsidRDefault="007D2BA1" w:rsidP="00AA7FF0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AA7FF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0113 «Другие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общегосударственные вопросы» исполнено всего 19247,83 тыс. рублей при плане 65573,28 тыс. рублей (29,3%), в том числе по ЦСР 0000092030 исполнено 3324,57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из них - в сумме 40,6 тыс. рублей выплата заработной платы (с начислениями) служащим администрации, 43,3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направлено на исполнение судебных актов, перечисление налогов, иных платежей. По ЦСР 0000093990 израсходованы средства в размере 15923,25 тыс. рублей на перечисление субсидий на выполнение муниципального задания МУ "Центр МТТО" администрации муниципального района (выполнение работ по обеспечению деятельности администрации муниципального района, в том числе по эксплуатации и содержанию зданий, сооружений, оборудования, коммуникаций и сетей, организация охраны и пожарной безопасности, транспортное обеспечение).</w:t>
      </w:r>
    </w:p>
    <w:p w:rsidR="007D2BA1" w:rsidRPr="007D2BA1" w:rsidRDefault="007D2BA1" w:rsidP="00444BB5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44BB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03 «Национальная безопасность»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составило 483,1 тыс. рублей при плане 4597,7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(10,5%).</w:t>
      </w:r>
    </w:p>
    <w:p w:rsidR="007D2BA1" w:rsidRPr="007D2BA1" w:rsidRDefault="007D2BA1" w:rsidP="00444BB5">
      <w:pPr>
        <w:spacing w:line="312" w:lineRule="exact"/>
        <w:ind w:firstLine="70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44BB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Исполнение по разделу 04 «Национальная экономика»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составило 13584,45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что составляет 5,4</w:t>
      </w:r>
      <w:r w:rsidRPr="007D2B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%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 уточнённому плану. В составе расходов по разделу:</w:t>
      </w:r>
    </w:p>
    <w:p w:rsidR="007D2BA1" w:rsidRPr="007D2BA1" w:rsidRDefault="007D2BA1" w:rsidP="00842A9E">
      <w:pPr>
        <w:numPr>
          <w:ilvl w:val="0"/>
          <w:numId w:val="12"/>
        </w:numPr>
        <w:tabs>
          <w:tab w:val="left" w:pos="576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исполнение по подразделу 0409 «Дорожные фонды» составило 13584,45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или 5,4 к плановым назначениям (</w:t>
      </w:r>
      <w:proofErr w:type="gram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129720,6тыс.рублей</w:t>
      </w:r>
      <w:proofErr w:type="gram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на дорожную деятельность в рамках реализации национального проекта «Безопасные и качественные автомобильные дороги»).</w:t>
      </w:r>
    </w:p>
    <w:p w:rsidR="007D2BA1" w:rsidRPr="007D2BA1" w:rsidRDefault="007D2BA1" w:rsidP="00842A9E">
      <w:pPr>
        <w:numPr>
          <w:ilvl w:val="0"/>
          <w:numId w:val="12"/>
        </w:numPr>
        <w:tabs>
          <w:tab w:val="left" w:pos="567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44BB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0412 "Другие вопросы в области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национальной экономики" при плане 2419,0 тыс. рублей финансирование расходов не осуществлялось.</w:t>
      </w:r>
    </w:p>
    <w:p w:rsidR="007D2BA1" w:rsidRPr="007D2BA1" w:rsidRDefault="007D2BA1" w:rsidP="00286361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8636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05 «Жилищно-коммунальное хозяйство»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кассовые расходы при плане 17368,79 тыс. рублей финансирование расходов не осуществлялось.</w:t>
      </w:r>
    </w:p>
    <w:p w:rsidR="007D2BA1" w:rsidRPr="007D2BA1" w:rsidRDefault="007D2BA1" w:rsidP="002D27A4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В структуре расходов по исполнению бюджета по итогам </w:t>
      </w:r>
      <w:r w:rsidR="000E37A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первого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квартала 2021 кассовые расходы </w:t>
      </w:r>
      <w:r w:rsidRPr="002D27A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по разделу 07 «Образование» </w:t>
      </w:r>
      <w:r w:rsidRPr="0013582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составляют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24,8 </w:t>
      </w:r>
      <w:r w:rsidRPr="007D2B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%.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по данному разделу составило 336027,56 тыс. рублей при плане 1354499,48 тыс. рублей (24,8%).</w:t>
      </w:r>
    </w:p>
    <w:p w:rsidR="007D2BA1" w:rsidRPr="007D2BA1" w:rsidRDefault="007D2BA1" w:rsidP="002D27A4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D27A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0701 «Дошкольное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13582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образование»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составило 97511,07</w:t>
      </w:r>
    </w:p>
    <w:p w:rsidR="007D2BA1" w:rsidRPr="007D2BA1" w:rsidRDefault="002D27A4" w:rsidP="00842A9E">
      <w:pPr>
        <w:tabs>
          <w:tab w:val="left" w:pos="1153"/>
        </w:tabs>
        <w:spacing w:line="312" w:lineRule="exact"/>
        <w:ind w:hanging="1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тыс. рублей при плане 465415,4 тыс. рублей (20,9 %).Расходы за счёт краевого бюджета в виде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сложились в размере 37915,54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утвержденных бюджетных назначениях 172957,7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(21,9 % исполнения), и расходы на содержание МДОУ за счет средств местного бюджета составили 41042,9 тыс. </w:t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рубля при уточненном плане 131226,8 рублей (31,3 </w:t>
      </w:r>
      <w:r w:rsidR="007D2BA1" w:rsidRPr="007D2B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%).</w:t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Расходы на выплату за счёт средств краевой субсидии дополнительных мест для детей в возрасте от 1,5 до 3 лет, осуществляющих образовательную деятельность по образовательным программам дошкольного образования составили 18552,</w:t>
      </w:r>
      <w:proofErr w:type="gram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6 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proofErr w:type="gramEnd"/>
    </w:p>
    <w:p w:rsidR="007D2BA1" w:rsidRPr="007D2BA1" w:rsidRDefault="007D2BA1" w:rsidP="002D27A4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D27A4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0702 «Общее образование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 расходы запланированы в сумме</w:t>
      </w:r>
    </w:p>
    <w:p w:rsidR="007D2BA1" w:rsidRPr="007D2BA1" w:rsidRDefault="00853173" w:rsidP="00842A9E">
      <w:pPr>
        <w:tabs>
          <w:tab w:val="left" w:pos="1158"/>
        </w:tabs>
        <w:spacing w:line="312" w:lineRule="exact"/>
        <w:ind w:hanging="1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796740,1тыс. рублей, исполнено 215222,8 тыс. рублей (27 %). Расходы краевого бюджета в виде субвенции на обеспечение государственных гарантий реализации прав на получение общедоступного и бесплатного образования в муниципальных образовательных организациях составили 106060,65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плане 496365,8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(21,4%). Расходы на содержание общеобразовательных организаций за счет средств местного бюджета составили 79497,3 тыс. рубля при уточненном плане 178125,4 рублей (44,6 %).</w:t>
      </w:r>
    </w:p>
    <w:p w:rsidR="007D2BA1" w:rsidRPr="007D2BA1" w:rsidRDefault="007D2BA1" w:rsidP="00853173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0703 «Дополнительное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образование детей»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предусмотрены расходы в размере 54805,0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рублей, исполнение составило 14002,8 рублей (25,5%).</w:t>
      </w:r>
    </w:p>
    <w:p w:rsidR="007D2BA1" w:rsidRPr="007D2BA1" w:rsidRDefault="007D2BA1" w:rsidP="00853173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0707 «Молодежная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политика»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плановых назначениях в размере 5831,5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финансирование расходов не осуществлялось.</w:t>
      </w:r>
    </w:p>
    <w:p w:rsidR="007D2BA1" w:rsidRPr="007D2BA1" w:rsidRDefault="007D2BA1" w:rsidP="00853173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По подразделу 0709 «Другие </w:t>
      </w:r>
      <w:r w:rsidRPr="00CF1AE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во</w:t>
      </w:r>
      <w:bookmarkStart w:id="1" w:name="_GoBack"/>
      <w:bookmarkEnd w:id="1"/>
      <w:r w:rsidRPr="00CF1AE0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просы в области образования»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предусмотрено 31707,5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составило 9290,9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(29,3 </w:t>
      </w:r>
      <w:proofErr w:type="gram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%).По</w:t>
      </w:r>
      <w:proofErr w:type="gram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данному разделу за счет средств местного бюджета производились расходы на содержание аппарата Комитета образования в сумме 1379,9 тыс. рублей, и прочих учреждений Комитета образования (централизованная бухгалтерия, методический кабинет, МКУ «ЦБ») 7910,9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. Кроме того, по данному разделу произведено финансирование по субвенциям на администрирование государственных полномочий на сумму 1099,2 тыс. рублей при плане 8629,2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7D2BA1" w:rsidRPr="007D2BA1" w:rsidRDefault="007D2BA1" w:rsidP="00853173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08 «Культура»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составляет 11868,1 тыс. рублей при плане 35401,2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(33,5 %). Удельный вес расходов по разделу 0800 в общей сумме расходов бюджета по итогам за </w:t>
      </w:r>
      <w:r w:rsidR="000E37A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первый 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квартал 2021 года составляет 33,5%.</w:t>
      </w:r>
    </w:p>
    <w:p w:rsidR="007D2BA1" w:rsidRPr="007D2BA1" w:rsidRDefault="007D2BA1" w:rsidP="00853173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317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0801 «Культура»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предусмотрено 32391,4 тыс. рублей, исполнено 11051,3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 Исполнение составило 34,1</w:t>
      </w:r>
      <w:r w:rsidRPr="007D2B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%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от плана.</w:t>
      </w:r>
    </w:p>
    <w:p w:rsidR="007D2BA1" w:rsidRPr="007D2BA1" w:rsidRDefault="007D2BA1" w:rsidP="003E361C">
      <w:pPr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Средства направлены в виде субсидий на выполнение муниципального задания за счёт местного бюджета МУК «</w:t>
      </w:r>
      <w:proofErr w:type="gram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РДК»  5465</w:t>
      </w:r>
      <w:proofErr w:type="gram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,4 рублей и МУК «МЦРБ» 5585,8 рублей.</w:t>
      </w:r>
    </w:p>
    <w:p w:rsidR="007D2BA1" w:rsidRPr="007D2BA1" w:rsidRDefault="008562BC" w:rsidP="008562BC">
      <w:pPr>
        <w:spacing w:line="312" w:lineRule="exact"/>
        <w:ind w:hanging="11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="007D2BA1"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0804 «Другие вопросы в области культуры, кинематографии»</w:t>
      </w:r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предусмотрено 3009,8 </w:t>
      </w:r>
      <w:proofErr w:type="spellStart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="007D2BA1"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составило 816,8 тыс. рублей (6,2%). </w:t>
      </w:r>
    </w:p>
    <w:p w:rsidR="007D2BA1" w:rsidRPr="007D2BA1" w:rsidRDefault="007D2BA1" w:rsidP="008562BC">
      <w:pPr>
        <w:spacing w:line="312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10 «Социальная политика»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в целом исполнение составляет</w:t>
      </w:r>
    </w:p>
    <w:p w:rsidR="007D2BA1" w:rsidRPr="007D2BA1" w:rsidRDefault="007D2BA1" w:rsidP="00842A9E">
      <w:pPr>
        <w:tabs>
          <w:tab w:val="left" w:pos="1013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13500,8 тыс. рублей при плане 66941,82 тыс. рублей (20,2 %). Удельный вес кассовых расходов по разделу 10 в общей сумме произведённых расходов бюджета составляет 20,2 %.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1001 «Пенсионное обеспечение»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предусмотрена доплата к пенсиям муниципальным служащим администрации района в сумме 3120,0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составило 210,3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(6,7 %).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1003 «Социальное обеспечение населения»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в бюджете района предусмотрено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</w:t>
      </w:r>
      <w:r w:rsidR="00842A9E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общего пользования (кроме воздушного и железнодорожного) за счет средств краевого бюджета в размере 17590,8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составило 3339,8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(19 %).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По подразделу 1004 «Охрана семьи и детства»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- при плане 46231,0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за </w:t>
      </w:r>
      <w:r w:rsidR="000E37A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первый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 2021 года сложилось в сумме</w:t>
      </w:r>
    </w:p>
    <w:p w:rsidR="007D2BA1" w:rsidRPr="007D2BA1" w:rsidRDefault="007D2BA1" w:rsidP="00842A9E">
      <w:pPr>
        <w:tabs>
          <w:tab w:val="left" w:pos="990"/>
        </w:tabs>
        <w:spacing w:line="31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9950,71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(21,5 %).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8562B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11 «Физическая культура и спорт»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 составило 22,0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по подразделу 1102 «Массовый спорт» при плановых назначениях в сумме 3277,3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. </w:t>
      </w:r>
      <w:proofErr w:type="gram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 реализация</w:t>
      </w:r>
      <w:proofErr w:type="gram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мероприятий плана социального развития центров экономического роста Забайкальского края строительство универсальной спортивной площадки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с.Верх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-Чита направлено 30,0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361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13 «Обслуживание государственного и муниципального долга»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предусмотрено обслуживание внутреннего долга. В бюджете муниципального района на обслуживание муниципального долга предусмотрено 3,9 тыс. рублей.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361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разделу 14 «Межбюджетные трансферты»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в целом исполнение составляет 10561,13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при уточненных бюджетных назначениях 44869,0 тыс. рублей (23,5%). Удельный вес в общей сумме произведённых кассовых расходов бюджета составляет 23,5%.</w:t>
      </w:r>
    </w:p>
    <w:p w:rsidR="007D2BA1" w:rsidRP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361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 подразделу 1401 «Дотации на выравнивание бюджетной обеспеченности субъектов Российской Федерации и муниципальных образований»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предусмотрены средства дотаций на выравнивание уровня бюджетной обеспеченности бюджетам городских и сельских поселений в размере 33681,0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составило 7682,7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из них:</w:t>
      </w:r>
    </w:p>
    <w:p w:rsidR="007D2BA1" w:rsidRPr="007D2BA1" w:rsidRDefault="007D2BA1" w:rsidP="00842A9E">
      <w:pPr>
        <w:numPr>
          <w:ilvl w:val="0"/>
          <w:numId w:val="12"/>
        </w:numPr>
        <w:tabs>
          <w:tab w:val="left" w:pos="567"/>
        </w:tabs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дотаций на выравнивание бюджетной обеспеченности за счет районного бюджета в сумме 6060,1 рублей (25,3% исполнение),</w:t>
      </w:r>
    </w:p>
    <w:p w:rsidR="007D2BA1" w:rsidRPr="007D2BA1" w:rsidRDefault="007D2BA1" w:rsidP="00842A9E">
      <w:pPr>
        <w:numPr>
          <w:ilvl w:val="0"/>
          <w:numId w:val="12"/>
        </w:numPr>
        <w:tabs>
          <w:tab w:val="left" w:pos="562"/>
        </w:tabs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дотации на выравнивание бюджетной обеспеченности за счет передаваемой из краевого бюджета субвенции на осуществление органами местного самоуправления государственных полномочий по расчету и предоставлению дотаций поселениям в сумме 1622,6 рублей (16,7 % исполнение).</w:t>
      </w:r>
    </w:p>
    <w:p w:rsidR="007D2BA1" w:rsidRDefault="007D2BA1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E361C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По подразделу 1402 «Иные дотации» 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предусмотрены средства дотаций на поддержку мер по обеспечению сбалансированности бюджетов в размере 11188,0 </w:t>
      </w:r>
      <w:proofErr w:type="spellStart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тыс.рублей</w:t>
      </w:r>
      <w:proofErr w:type="spellEnd"/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исполнение за </w:t>
      </w:r>
      <w:r w:rsidR="000E37AA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первый</w:t>
      </w:r>
      <w:r w:rsidRPr="007D2BA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квартал 2021 года составило 2878,43 тыс. рублей (25,7 %).</w:t>
      </w:r>
    </w:p>
    <w:p w:rsidR="00C75A3D" w:rsidRDefault="00C75A3D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C75A3D" w:rsidRDefault="00C75A3D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86CDB" w:rsidRDefault="00B86CDB" w:rsidP="00842A9E">
      <w:pPr>
        <w:spacing w:line="312" w:lineRule="exact"/>
        <w:ind w:firstLine="3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Default="00B86CDB" w:rsidP="00B86CDB">
      <w:pP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</w:p>
    <w:p w:rsidR="00B86CDB" w:rsidRPr="00B86CDB" w:rsidRDefault="00B86CDB" w:rsidP="00B86CDB">
      <w:pPr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86CD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                                         </w:t>
      </w:r>
    </w:p>
    <w:p w:rsidR="00B86CDB" w:rsidRPr="00B86CDB" w:rsidRDefault="00B86CDB" w:rsidP="00B86CDB">
      <w:pPr>
        <w:tabs>
          <w:tab w:val="left" w:pos="6375"/>
        </w:tabs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86C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B86CDB">
        <w:rPr>
          <w:rFonts w:ascii="Times New Roman" w:hAnsi="Times New Roman" w:cs="Times New Roman"/>
          <w:sz w:val="28"/>
          <w:szCs w:val="28"/>
        </w:rPr>
        <w:tab/>
        <w:t xml:space="preserve">             М.А. Логинова</w:t>
      </w:r>
    </w:p>
    <w:p w:rsidR="00B86CDB" w:rsidRPr="00B86CDB" w:rsidRDefault="00B86CDB" w:rsidP="00B86CDB">
      <w:pPr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86CDB"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C75A3D" w:rsidRPr="00B86CDB" w:rsidRDefault="00C75A3D" w:rsidP="00B86CDB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sectPr w:rsidR="00C75A3D" w:rsidRPr="00B86CDB" w:rsidSect="00842A9E">
      <w:pgSz w:w="11906" w:h="16838"/>
      <w:pgMar w:top="1134" w:right="56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4C9"/>
    <w:multiLevelType w:val="multilevel"/>
    <w:tmpl w:val="8AA0BC68"/>
    <w:lvl w:ilvl="0">
      <w:start w:val="8"/>
      <w:numFmt w:val="decimal"/>
      <w:lvlText w:val="4493.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4D6C58"/>
    <w:multiLevelType w:val="multilevel"/>
    <w:tmpl w:val="82A2FC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860D06"/>
    <w:multiLevelType w:val="multilevel"/>
    <w:tmpl w:val="C3645B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E364D6"/>
    <w:multiLevelType w:val="multilevel"/>
    <w:tmpl w:val="6270ECA2"/>
    <w:lvl w:ilvl="0">
      <w:start w:val="8"/>
      <w:numFmt w:val="decimal"/>
      <w:lvlText w:val="674414.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7913CD1"/>
    <w:multiLevelType w:val="multilevel"/>
    <w:tmpl w:val="BA502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C4C24"/>
    <w:multiLevelType w:val="multilevel"/>
    <w:tmpl w:val="AE7C74A0"/>
    <w:lvl w:ilvl="0">
      <w:start w:val="2"/>
      <w:numFmt w:val="decimal"/>
      <w:lvlText w:val="25332.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F86FDE"/>
    <w:multiLevelType w:val="multilevel"/>
    <w:tmpl w:val="B8EE3034"/>
    <w:lvl w:ilvl="0">
      <w:start w:val="2"/>
      <w:numFmt w:val="decimal"/>
      <w:lvlText w:val="370.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E32F3C"/>
    <w:multiLevelType w:val="multilevel"/>
    <w:tmpl w:val="82DA8CDC"/>
    <w:lvl w:ilvl="0">
      <w:start w:val="1"/>
      <w:numFmt w:val="decimal"/>
      <w:lvlText w:val="29028,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FED5249"/>
    <w:multiLevelType w:val="multilevel"/>
    <w:tmpl w:val="E57C77AA"/>
    <w:lvl w:ilvl="0">
      <w:start w:val="8"/>
      <w:numFmt w:val="decimal"/>
      <w:lvlText w:val="169134.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2022748"/>
    <w:multiLevelType w:val="multilevel"/>
    <w:tmpl w:val="7D2C7040"/>
    <w:lvl w:ilvl="0">
      <w:start w:val="1"/>
      <w:numFmt w:val="decimal"/>
      <w:lvlText w:val="38690,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07623D"/>
    <w:multiLevelType w:val="multilevel"/>
    <w:tmpl w:val="F68AB85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F07107F"/>
    <w:multiLevelType w:val="multilevel"/>
    <w:tmpl w:val="284440E2"/>
    <w:lvl w:ilvl="0">
      <w:start w:val="1"/>
      <w:numFmt w:val="decimal"/>
      <w:lvlText w:val="3905,%1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56"/>
    <w:rsid w:val="000810A5"/>
    <w:rsid w:val="000E37AA"/>
    <w:rsid w:val="00135821"/>
    <w:rsid w:val="00177F32"/>
    <w:rsid w:val="00286361"/>
    <w:rsid w:val="002D11B2"/>
    <w:rsid w:val="002D27A4"/>
    <w:rsid w:val="003E361C"/>
    <w:rsid w:val="00422B99"/>
    <w:rsid w:val="00444BB5"/>
    <w:rsid w:val="006157F5"/>
    <w:rsid w:val="007C7382"/>
    <w:rsid w:val="007D2BA1"/>
    <w:rsid w:val="0084293B"/>
    <w:rsid w:val="00842A9E"/>
    <w:rsid w:val="00853173"/>
    <w:rsid w:val="008562BC"/>
    <w:rsid w:val="009649E2"/>
    <w:rsid w:val="00982B91"/>
    <w:rsid w:val="00AA7FF0"/>
    <w:rsid w:val="00B421E5"/>
    <w:rsid w:val="00B86CDB"/>
    <w:rsid w:val="00B955FB"/>
    <w:rsid w:val="00C75A3D"/>
    <w:rsid w:val="00CF1AE0"/>
    <w:rsid w:val="00DF4356"/>
    <w:rsid w:val="00EA4430"/>
    <w:rsid w:val="00F10D58"/>
    <w:rsid w:val="00F6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DEF7-85FB-4A5D-9DC4-C5AABAE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1">
    <w:name w:val="Основной текст (2) + Полужирный;Курсив"/>
    <w:basedOn w:val="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"/>
      <w:szCs w:val="26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240" w:line="312" w:lineRule="exact"/>
      <w:ind w:firstLine="15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Содержимое врезки"/>
    <w:basedOn w:val="a"/>
    <w:qFormat/>
  </w:style>
  <w:style w:type="paragraph" w:styleId="a9">
    <w:name w:val="Balloon Text"/>
    <w:basedOn w:val="a"/>
    <w:link w:val="aa"/>
    <w:uiPriority w:val="99"/>
    <w:semiHidden/>
    <w:unhideWhenUsed/>
    <w:rsid w:val="007C73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3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Yulia</cp:lastModifiedBy>
  <cp:revision>19</cp:revision>
  <cp:lastPrinted>2021-06-21T07:35:00Z</cp:lastPrinted>
  <dcterms:created xsi:type="dcterms:W3CDTF">2021-06-21T07:27:00Z</dcterms:created>
  <dcterms:modified xsi:type="dcterms:W3CDTF">2021-06-22T01:21:00Z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