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627" w:type="dxa"/>
        <w:tblLook w:val="04A0" w:firstRow="1" w:lastRow="0" w:firstColumn="1" w:lastColumn="0" w:noHBand="0" w:noVBand="1"/>
      </w:tblPr>
      <w:tblGrid>
        <w:gridCol w:w="3933"/>
      </w:tblGrid>
      <w:tr w:rsidR="00D95E98" w:rsidRPr="00135B82" w:rsidTr="00D95E9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95E98" w:rsidRPr="00135B82" w:rsidRDefault="00D95E98" w:rsidP="00D95E98">
            <w:pPr>
              <w:jc w:val="center"/>
              <w:rPr>
                <w:rFonts w:ascii="Times New Roman" w:hAnsi="Times New Roman" w:cs="Times New Roman"/>
              </w:rPr>
            </w:pPr>
            <w:r w:rsidRPr="00135B82">
              <w:rPr>
                <w:rFonts w:ascii="Times New Roman" w:hAnsi="Times New Roman" w:cs="Times New Roman"/>
              </w:rPr>
              <w:t>ПРИЛОЖЕНИЕ</w:t>
            </w:r>
          </w:p>
          <w:p w:rsidR="00D95E98" w:rsidRPr="00135B82" w:rsidRDefault="00D95E98" w:rsidP="00D95E98">
            <w:pPr>
              <w:jc w:val="center"/>
              <w:rPr>
                <w:rFonts w:ascii="Times New Roman" w:hAnsi="Times New Roman" w:cs="Times New Roman"/>
              </w:rPr>
            </w:pPr>
            <w:r w:rsidRPr="00135B82">
              <w:rPr>
                <w:rFonts w:ascii="Times New Roman" w:hAnsi="Times New Roman" w:cs="Times New Roman"/>
              </w:rPr>
              <w:t>к Решению Совета муниципального района «Читинский район»</w:t>
            </w:r>
          </w:p>
          <w:p w:rsidR="00D95E98" w:rsidRPr="00135B82" w:rsidRDefault="00D95E98" w:rsidP="00A64C51">
            <w:pPr>
              <w:jc w:val="center"/>
              <w:rPr>
                <w:rFonts w:ascii="Times New Roman" w:hAnsi="Times New Roman" w:cs="Times New Roman"/>
              </w:rPr>
            </w:pPr>
            <w:r w:rsidRPr="00135B82">
              <w:rPr>
                <w:rFonts w:ascii="Times New Roman" w:hAnsi="Times New Roman" w:cs="Times New Roman"/>
              </w:rPr>
              <w:t>«</w:t>
            </w:r>
            <w:r w:rsidR="00A64C51">
              <w:rPr>
                <w:rFonts w:ascii="Times New Roman" w:hAnsi="Times New Roman" w:cs="Times New Roman"/>
              </w:rPr>
              <w:t>11</w:t>
            </w:r>
            <w:r w:rsidRPr="00135B82">
              <w:rPr>
                <w:rFonts w:ascii="Times New Roman" w:hAnsi="Times New Roman" w:cs="Times New Roman"/>
              </w:rPr>
              <w:t xml:space="preserve">» </w:t>
            </w:r>
            <w:r w:rsidR="00A64C51">
              <w:rPr>
                <w:rFonts w:ascii="Times New Roman" w:hAnsi="Times New Roman" w:cs="Times New Roman"/>
              </w:rPr>
              <w:t>ноября</w:t>
            </w:r>
            <w:r w:rsidRPr="00135B82">
              <w:rPr>
                <w:rFonts w:ascii="Times New Roman" w:hAnsi="Times New Roman" w:cs="Times New Roman"/>
              </w:rPr>
              <w:t xml:space="preserve"> 202</w:t>
            </w:r>
            <w:r w:rsidR="00CA0BC1" w:rsidRPr="00135B82">
              <w:rPr>
                <w:rFonts w:ascii="Times New Roman" w:hAnsi="Times New Roman" w:cs="Times New Roman"/>
              </w:rPr>
              <w:t>2</w:t>
            </w:r>
            <w:r w:rsidRPr="00135B82">
              <w:rPr>
                <w:rFonts w:ascii="Times New Roman" w:hAnsi="Times New Roman" w:cs="Times New Roman"/>
              </w:rPr>
              <w:t xml:space="preserve"> года №</w:t>
            </w:r>
            <w:r w:rsidR="00A64C51">
              <w:rPr>
                <w:rFonts w:ascii="Times New Roman" w:hAnsi="Times New Roman" w:cs="Times New Roman"/>
              </w:rPr>
              <w:t>332</w:t>
            </w:r>
          </w:p>
        </w:tc>
      </w:tr>
    </w:tbl>
    <w:p w:rsidR="00614643" w:rsidRPr="00135B82" w:rsidRDefault="00614643" w:rsidP="00D95E98">
      <w:pPr>
        <w:jc w:val="right"/>
      </w:pPr>
    </w:p>
    <w:p w:rsidR="00AA52F2" w:rsidRPr="00135B82" w:rsidRDefault="00AA52F2" w:rsidP="00FD2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8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A52F2" w:rsidRPr="00135B82" w:rsidRDefault="00AA52F2" w:rsidP="00FD2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82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D467AC" w:rsidRPr="00135B82">
        <w:rPr>
          <w:rFonts w:ascii="Times New Roman" w:hAnsi="Times New Roman" w:cs="Times New Roman"/>
          <w:b/>
          <w:sz w:val="28"/>
          <w:szCs w:val="28"/>
        </w:rPr>
        <w:t>С</w:t>
      </w:r>
      <w:r w:rsidRPr="00135B82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</w:t>
      </w:r>
    </w:p>
    <w:p w:rsidR="00AA52F2" w:rsidRPr="00135B82" w:rsidRDefault="00AA52F2" w:rsidP="00FD2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82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 на период до 2030 года</w:t>
      </w:r>
    </w:p>
    <w:p w:rsidR="00AA52F2" w:rsidRPr="00135B82" w:rsidRDefault="00AA52F2" w:rsidP="00AA52F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2"/>
        <w:gridCol w:w="823"/>
        <w:gridCol w:w="1276"/>
        <w:gridCol w:w="1558"/>
        <w:gridCol w:w="709"/>
        <w:gridCol w:w="708"/>
        <w:gridCol w:w="666"/>
        <w:gridCol w:w="709"/>
        <w:gridCol w:w="43"/>
        <w:gridCol w:w="666"/>
        <w:gridCol w:w="709"/>
        <w:gridCol w:w="708"/>
        <w:gridCol w:w="686"/>
        <w:gridCol w:w="708"/>
        <w:gridCol w:w="709"/>
        <w:gridCol w:w="709"/>
        <w:gridCol w:w="750"/>
        <w:gridCol w:w="1583"/>
      </w:tblGrid>
      <w:tr w:rsidR="00F23F1B" w:rsidRPr="00135B82" w:rsidTr="00AA52F2">
        <w:trPr>
          <w:trHeight w:val="306"/>
          <w:tblHeader/>
        </w:trPr>
        <w:tc>
          <w:tcPr>
            <w:tcW w:w="567" w:type="dxa"/>
            <w:vMerge w:val="restart"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A52F2" w:rsidRPr="00135B82" w:rsidRDefault="00AA52F2" w:rsidP="00AA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72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3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  <w:r w:rsidR="00FD20B6"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, годы</w:t>
            </w:r>
          </w:p>
        </w:tc>
        <w:tc>
          <w:tcPr>
            <w:tcW w:w="1276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финансирования*</w:t>
            </w:r>
          </w:p>
        </w:tc>
        <w:tc>
          <w:tcPr>
            <w:tcW w:w="10038" w:type="dxa"/>
            <w:gridSpan w:val="14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583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23F1B" w:rsidRPr="00135B82" w:rsidTr="00AA52F2">
        <w:trPr>
          <w:trHeight w:val="305"/>
          <w:tblHeader/>
        </w:trPr>
        <w:tc>
          <w:tcPr>
            <w:tcW w:w="567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083" w:type="dxa"/>
            <w:gridSpan w:val="3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4229" w:type="dxa"/>
            <w:gridSpan w:val="7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2168" w:type="dxa"/>
            <w:gridSpan w:val="3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1583" w:type="dxa"/>
            <w:vMerge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23F1B" w:rsidRPr="00135B82" w:rsidTr="00AA52F2">
        <w:trPr>
          <w:trHeight w:val="672"/>
          <w:tblHeader/>
        </w:trPr>
        <w:tc>
          <w:tcPr>
            <w:tcW w:w="567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708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66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686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708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2028 год</w:t>
            </w: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2029 год</w:t>
            </w:r>
          </w:p>
        </w:tc>
        <w:tc>
          <w:tcPr>
            <w:tcW w:w="750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2030 год</w:t>
            </w:r>
          </w:p>
        </w:tc>
        <w:tc>
          <w:tcPr>
            <w:tcW w:w="1583" w:type="dxa"/>
            <w:vMerge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3F1B" w:rsidRPr="00135B82" w:rsidTr="00D2638F">
        <w:trPr>
          <w:trHeight w:val="267"/>
        </w:trPr>
        <w:tc>
          <w:tcPr>
            <w:tcW w:w="567" w:type="dxa"/>
            <w:vAlign w:val="center"/>
          </w:tcPr>
          <w:p w:rsidR="00AA52F2" w:rsidRPr="00135B82" w:rsidRDefault="00AA52F2" w:rsidP="00AA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2" w:type="dxa"/>
            <w:gridSpan w:val="18"/>
            <w:vAlign w:val="center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Цель 1. Создание условий для личностного развития и реализации способностей человека, пополнение трудовых ресурсов</w:t>
            </w:r>
          </w:p>
        </w:tc>
      </w:tr>
      <w:tr w:rsidR="00F23F1B" w:rsidRPr="00135B82" w:rsidTr="00D2638F">
        <w:trPr>
          <w:trHeight w:val="285"/>
        </w:trPr>
        <w:tc>
          <w:tcPr>
            <w:tcW w:w="567" w:type="dxa"/>
            <w:vAlign w:val="center"/>
          </w:tcPr>
          <w:p w:rsidR="00AA52F2" w:rsidRPr="00135B82" w:rsidRDefault="00AA52F2" w:rsidP="00AA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2" w:type="dxa"/>
            <w:gridSpan w:val="18"/>
            <w:vAlign w:val="center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1.1. Повышение качества и доступности образования</w:t>
            </w:r>
          </w:p>
        </w:tc>
      </w:tr>
      <w:tr w:rsidR="00F23F1B" w:rsidRPr="00135B82" w:rsidTr="00FD20B6">
        <w:trPr>
          <w:trHeight w:val="279"/>
        </w:trPr>
        <w:tc>
          <w:tcPr>
            <w:tcW w:w="567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AA52F2" w:rsidRPr="00135B82" w:rsidRDefault="00AA52F2" w:rsidP="00AA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новых объектов образования (дошкольного, общего, дополнительного), в том числе:</w:t>
            </w:r>
          </w:p>
        </w:tc>
        <w:tc>
          <w:tcPr>
            <w:tcW w:w="823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1B" w:rsidRPr="00135B82" w:rsidTr="00FD20B6">
        <w:trPr>
          <w:trHeight w:val="283"/>
        </w:trPr>
        <w:tc>
          <w:tcPr>
            <w:tcW w:w="567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2" w:type="dxa"/>
          </w:tcPr>
          <w:p w:rsidR="00AA52F2" w:rsidRPr="00135B82" w:rsidRDefault="00AA52F2" w:rsidP="00FD20B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школы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Сохондо</w:t>
            </w:r>
            <w:proofErr w:type="spellEnd"/>
          </w:p>
        </w:tc>
        <w:tc>
          <w:tcPr>
            <w:tcW w:w="82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</w:t>
            </w:r>
            <w:r w:rsidR="008F3264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736138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FD20B6">
        <w:trPr>
          <w:trHeight w:val="283"/>
        </w:trPr>
        <w:tc>
          <w:tcPr>
            <w:tcW w:w="567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2" w:type="dxa"/>
          </w:tcPr>
          <w:p w:rsidR="00AA52F2" w:rsidRPr="00135B82" w:rsidRDefault="00AA52F2" w:rsidP="0073613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школы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(2 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школы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250 мест)</w:t>
            </w:r>
          </w:p>
        </w:tc>
        <w:tc>
          <w:tcPr>
            <w:tcW w:w="823" w:type="dxa"/>
          </w:tcPr>
          <w:p w:rsidR="00AA52F2" w:rsidRPr="00135B82" w:rsidRDefault="00057D52" w:rsidP="007361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736138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gridSpan w:val="2"/>
          </w:tcPr>
          <w:p w:rsidR="00AA52F2" w:rsidRPr="00135B82" w:rsidRDefault="00736138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736138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FD20B6">
        <w:trPr>
          <w:trHeight w:val="283"/>
        </w:trPr>
        <w:tc>
          <w:tcPr>
            <w:tcW w:w="567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72" w:type="dxa"/>
          </w:tcPr>
          <w:p w:rsidR="00AA52F2" w:rsidRPr="00135B82" w:rsidRDefault="00AA52F2" w:rsidP="0073613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школы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8A7EE2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A7EE2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 мест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3" w:type="dxa"/>
          </w:tcPr>
          <w:p w:rsidR="00AA52F2" w:rsidRPr="00135B82" w:rsidRDefault="00057D52" w:rsidP="00AA52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8A7EE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8A7EE2" w:rsidP="007361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FD20B6">
        <w:trPr>
          <w:trHeight w:val="283"/>
        </w:trPr>
        <w:tc>
          <w:tcPr>
            <w:tcW w:w="567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2" w:type="dxa"/>
          </w:tcPr>
          <w:p w:rsidR="00AA52F2" w:rsidRPr="00135B82" w:rsidRDefault="00AA52F2" w:rsidP="008A7E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школы в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Атамановка (</w:t>
            </w:r>
            <w:r w:rsidR="008A7EE2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 мест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3" w:type="dxa"/>
          </w:tcPr>
          <w:p w:rsidR="00AA52F2" w:rsidRPr="00135B82" w:rsidRDefault="00057D5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8A7EE2" w:rsidP="007361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6138"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A52F2" w:rsidRPr="00135B82" w:rsidRDefault="008A7EE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FD20B6">
        <w:trPr>
          <w:trHeight w:val="283"/>
        </w:trPr>
        <w:tc>
          <w:tcPr>
            <w:tcW w:w="567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2" w:type="dxa"/>
          </w:tcPr>
          <w:p w:rsidR="00AA52F2" w:rsidRPr="00135B82" w:rsidRDefault="00AA52F2" w:rsidP="00FD20B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школы в с. Лесной городок (1 здание на 250 мест)</w:t>
            </w:r>
          </w:p>
        </w:tc>
        <w:tc>
          <w:tcPr>
            <w:tcW w:w="82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FD20B6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4B3F0F">
        <w:trPr>
          <w:trHeight w:val="283"/>
        </w:trPr>
        <w:tc>
          <w:tcPr>
            <w:tcW w:w="567" w:type="dxa"/>
          </w:tcPr>
          <w:p w:rsidR="00AA52F2" w:rsidRPr="00135B82" w:rsidRDefault="00AA52F2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049D"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:rsidR="00AA52F2" w:rsidRPr="00135B82" w:rsidRDefault="00AA52F2" w:rsidP="00574CA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детского сада в с. Угдан (1</w:t>
            </w:r>
            <w:r w:rsidR="00574CA1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 мест)</w:t>
            </w:r>
          </w:p>
        </w:tc>
        <w:tc>
          <w:tcPr>
            <w:tcW w:w="823" w:type="dxa"/>
          </w:tcPr>
          <w:p w:rsidR="00AA52F2" w:rsidRPr="00135B82" w:rsidRDefault="00057D52" w:rsidP="00574CA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2023-202</w:t>
            </w:r>
            <w:r w:rsidR="00574CA1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AA52F2" w:rsidRPr="00135B82" w:rsidRDefault="00AA52F2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057D52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574CA1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A52F2" w:rsidRPr="00135B82" w:rsidRDefault="00574CA1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B3F0F">
        <w:trPr>
          <w:trHeight w:val="283"/>
        </w:trPr>
        <w:tc>
          <w:tcPr>
            <w:tcW w:w="567" w:type="dxa"/>
          </w:tcPr>
          <w:p w:rsidR="006B6F74" w:rsidRPr="00135B82" w:rsidRDefault="004D291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детского сада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(110 мест)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B3F0F">
        <w:trPr>
          <w:trHeight w:val="283"/>
        </w:trPr>
        <w:tc>
          <w:tcPr>
            <w:tcW w:w="567" w:type="dxa"/>
          </w:tcPr>
          <w:p w:rsidR="006B6F74" w:rsidRPr="00135B82" w:rsidRDefault="004D291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детского сада в с. Домна (110 мест)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B3F0F">
        <w:trPr>
          <w:trHeight w:val="283"/>
        </w:trPr>
        <w:tc>
          <w:tcPr>
            <w:tcW w:w="567" w:type="dxa"/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детского сада в с. Александровка 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2028-2030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B3F0F">
        <w:trPr>
          <w:trHeight w:val="283"/>
        </w:trPr>
        <w:tc>
          <w:tcPr>
            <w:tcW w:w="567" w:type="dxa"/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детского сада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Шишкино</w:t>
            </w:r>
            <w:proofErr w:type="spellEnd"/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2027-2030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59321B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59321B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A52F2">
        <w:trPr>
          <w:trHeight w:val="283"/>
        </w:trPr>
        <w:tc>
          <w:tcPr>
            <w:tcW w:w="567" w:type="dxa"/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станции по обезжелезиванию воды МОУ «СОШ» в с. Смоленка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A52F2">
        <w:trPr>
          <w:trHeight w:val="283"/>
        </w:trPr>
        <w:tc>
          <w:tcPr>
            <w:tcW w:w="567" w:type="dxa"/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спортивного зала МОУ СОШ в с. Александровка, МОУ ООШ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Сивяково</w:t>
            </w:r>
            <w:proofErr w:type="spellEnd"/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90348C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зданий (пристроек) к зданиям образовательных организаций, в том числе: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D2638F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модульной столовой МОУ СОШ №1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D2638F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дошкольных групп для детей от 2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D2638F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Домна дошкольных групп для детей от 2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D2638F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Смоленка дошкольных групп для детей от 2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D2638F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Новокручининский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дощкольных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групп для детей от 2 мес.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D2638F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Атамановка дошкольных групп для детей от 2 мес.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C33B83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Капитальный ремонт зданий образовательных организаций, которые находятся в аварийном и ветхом состоянии, в том числе: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C33B83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МДОУ д/с «Мотылек» в с. Новая Кука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C33B83">
        <w:trPr>
          <w:trHeight w:val="283"/>
        </w:trPr>
        <w:tc>
          <w:tcPr>
            <w:tcW w:w="567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МОУ СОШ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>. Атамановка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C33B8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МОУ СОШ в с. Верх-Чита</w:t>
            </w:r>
            <w:r w:rsidR="0053663E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="0053663E">
              <w:rPr>
                <w:rFonts w:ascii="Times New Roman" w:hAnsi="Times New Roman"/>
                <w:sz w:val="20"/>
                <w:szCs w:val="20"/>
              </w:rPr>
              <w:t>Колочное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53663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53663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C33B8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МУ ДО ДЮСШ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C33B8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д/с «Василек»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24627B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24627B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детский сад "Колосок"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24627B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24627B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детский сад "Незабудка"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МОУ СОШ с Сивякова (здание начальной школы с. Еремина)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МОУ СОШ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детский сад "Северянка"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Бургень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CA0BC1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Засопка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 (2),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Смоленка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Новотроицк, МОУ СОШ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п.ст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Гонгота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ООШ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п.ст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. Лесная, МОУ СОШ с. Елизаветино, МОУ СОШ с. Беклемишево,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Домна, МОУ СОШ с. Ильинка,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Иргень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Арахлей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</w:t>
            </w:r>
            <w:r w:rsidR="00CA0BC1" w:rsidRPr="00135B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Сыпчегур</w:t>
            </w:r>
            <w:proofErr w:type="spellEnd"/>
            <w:r w:rsidR="0024627B">
              <w:rPr>
                <w:rFonts w:ascii="Times New Roman" w:hAnsi="Times New Roman"/>
                <w:sz w:val="20"/>
                <w:szCs w:val="20"/>
              </w:rPr>
              <w:t>, с. Яблоново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CA0BC1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CA0BC1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CA0BC1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спортивного зала МОУ ООШ в с. Ингода, МОУ СОШ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Верх-Чита, МОУ СОШ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Арахлей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FE63B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Ремонт оконных блоков МОУ «СОШ №1»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Ремонт оконных блоков МОУ «СОШ»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Ремонт оконных блоков МОУ СОШ в с. Александровка (здание спортивного зала)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бюджет, краевой бюджет,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МОУ СОШ в с. Ленинский, МОУ ООШ в п.ст. Ингода, МОУ ООШ в с. Ильинка,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Сивяково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 (здание в с. Еремино),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Сивяково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Смоленка, МОУ ООШ в с. Елизаветино (школа + дошкольные группы),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>, МОУ СОШ в п. Лесной городок, МОУ ООШ в с. Верх-Нарым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д/с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Атамановка, МДОУ д/с в с. Домна, МДОУ д/с в с. Смоленка (ПМК), МДОУ д/с в с. Лесной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>городок, МДОУ д/с в с. Яблоново, МДОУ д/с «Теремок» в ст. Лесная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 xml:space="preserve">Развитие образования «Читинский район» на 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lastRenderedPageBreak/>
              <w:t>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(замена стеклопакетов).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единиц, в которых будут заменены стеклоблоки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(Теплых туалетов)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единиц, в которых будет проводиться капитальный ремонт теплых туалетов.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пожарной сигнализации МДОУ д/с «Росток»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МДОУ д/с «Ромашка»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МДОУ д/с «Березка» в с. Смоленка (2 здания), МДОУ д/с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«Малышок»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Засопка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пожарной сигнализации МОУ ООШ </w:t>
            </w:r>
            <w:proofErr w:type="gramStart"/>
            <w:r w:rsidRPr="00135B82">
              <w:rPr>
                <w:rFonts w:ascii="Times New Roman" w:hAnsi="Times New Roman"/>
                <w:sz w:val="20"/>
                <w:szCs w:val="20"/>
              </w:rPr>
              <w:t>в с</w:t>
            </w:r>
            <w:proofErr w:type="gram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Беклемишево, МОУ ООШ в с. Верх-Нарым, МОУ ООШ в с. Иргень, МОУ СОШ в с. Домна, МОУ ООШ в п.ст. Лесная, МОУ СОШ в с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№2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ООШ №42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Новотроицк, МОУ СОШ в с. Новая Кука,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Сыпчегур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Сохондо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>ООШ  №28 в п. Яблоново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Строительство санитарно-гигиенического блока ДОЛ «Огонек»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в которых установлено видеонаблюдение,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Замена технологического оборудования в столовой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в которых заменено оборудование,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Замена холодильного оборудования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бюджет, краевой бюджет,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объектов, в которых заменено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оборудование,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медицинского оборудования для медкабинетов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медкабинетов,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Приобретения оборудования для вновь открытых групп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4D291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Приобретение оборудования МОУ СОШ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приобретение о</w:t>
            </w:r>
            <w:r w:rsidR="00FE63BA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борудования МОУ СОШ с. </w:t>
            </w:r>
            <w:proofErr w:type="spellStart"/>
            <w:r w:rsidR="00FE63BA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A652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4A65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4A6522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4A6522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Приобретения оборудования для вновь открытых групп в с.Новая Кука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Постепенная замена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компьютерного оборудования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единиц,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интерактивных досок, документ камер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единиц,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4D291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в целях обеспечения антитеррористической деятельности МОУ </w:t>
            </w:r>
            <w:r w:rsidR="00FE63BA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="00FE63BA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Смоленка</w:t>
            </w:r>
            <w:proofErr w:type="spellEnd"/>
            <w:r w:rsidR="00FE63BA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СОШ с. </w:t>
            </w:r>
            <w:proofErr w:type="spellStart"/>
            <w:r w:rsidR="00FE63BA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Засопка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профессионального мастерства, конференций, фестивалей,</w:t>
            </w:r>
          </w:p>
          <w:p w:rsidR="006B6F74" w:rsidRPr="00135B82" w:rsidRDefault="006B6F74" w:rsidP="006B6F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педагогических чтений.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проведанных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профессиональной компетентности педагогов и руководителей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проведанных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внеурочной деятельности в системе общего и дополнительного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проведенных мероприятий,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, охват всех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профориентационных мероприятий с использованием современных технологий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проведенных мероприятий, единиц, охват всех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4073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807E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проведенных мероприятий,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, олимпиады, конференции, смотры-конкурсы, 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6B6F74" w:rsidRPr="00135B82" w:rsidTr="00807E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Внедрение инновационных технологий, направленных на освоение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предметных знаний и развитие компетенций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бюджет, краевой бюджет,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учреждений,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B6F74" w:rsidRPr="00135B82" w:rsidTr="00807E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детских оздоровительных лагерей с дневным пребыванием детей, организованных на базе образовательных учреждений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учреждений,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E7B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временной трудовой занятости детей и подростков в каникулярное время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E7B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оптимальных условий для здоровье сберегающей деятельности участников образовательного процесса в соответствии с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санитарно-эпидемиологическими правилами и нормативами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Удельный вес учащихся, относящихся к 1 и 2 группам здоровья в общей численности учащихся,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4E7B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4E7B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6B6F74" w:rsidRPr="00135B82" w:rsidTr="004E7B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6B6F74" w:rsidRPr="00135B82" w:rsidTr="004E7B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комитета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</w:tc>
      </w:tr>
      <w:tr w:rsidR="006B6F74" w:rsidRPr="00135B82" w:rsidTr="005A526C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Задача1.2. Обеспечение устойчивого развития культурно-досуговой сферы</w:t>
            </w:r>
          </w:p>
        </w:tc>
      </w:tr>
      <w:tr w:rsidR="006B6F74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Улучшение материально-технической базы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ремонт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Филиалы МБУК «РДК»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Сивяково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 Елизаветино.</w:t>
            </w:r>
          </w:p>
          <w:p w:rsidR="006B6F74" w:rsidRPr="00135B82" w:rsidRDefault="006B6F74" w:rsidP="006B6F7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МБУК «ДИЦ «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Багул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ст. Лесная, МБУК ИБДЦ «Вдохновение»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87093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МБУК «Районный дом культуры» с. Александровка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Число отремонтированных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6B6F74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</w:t>
            </w:r>
            <w:r w:rsidR="0086297A" w:rsidRPr="00135B82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 развития талантов в ГП «</w:t>
            </w:r>
            <w:proofErr w:type="spellStart"/>
            <w:r w:rsidR="0086297A" w:rsidRPr="00135B82">
              <w:rPr>
                <w:rFonts w:ascii="Times New Roman" w:eastAsia="Times New Roman" w:hAnsi="Times New Roman"/>
                <w:sz w:val="20"/>
                <w:szCs w:val="20"/>
              </w:rPr>
              <w:t>Атамановское</w:t>
            </w:r>
            <w:proofErr w:type="spellEnd"/>
            <w:r w:rsidR="0086297A" w:rsidRPr="00135B8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Строительство здания МБУ ДО «ДШИ» в с. Домна</w:t>
            </w:r>
            <w:r w:rsidR="00030CDD"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="00030CDD" w:rsidRPr="00135B82">
              <w:rPr>
                <w:rFonts w:ascii="Times New Roman" w:eastAsia="Times New Roman" w:hAnsi="Times New Roman"/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030CDD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D" w:rsidRPr="00135B82" w:rsidRDefault="00030CDD" w:rsidP="00030C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030CDD" w:rsidP="00030C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Текущий ремонт здания библиотеки с. Угдан, здания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библиотеки с. Новотроицк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Текущий ремонт здания Филиала МБУК «МЦРБ»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Филиала МБУК «МЦРБ» с. Домна-Ключи, Филиала МБУК «Районный дом культуры»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Авдей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2022 - 2023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 финансирования не определен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книжного фонда </w:t>
            </w:r>
          </w:p>
          <w:p w:rsidR="0086297A" w:rsidRPr="00FA1302" w:rsidRDefault="0086297A" w:rsidP="008629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бюджет, 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 МБУДО «ДШИ» </w:t>
            </w:r>
            <w:proofErr w:type="spellStart"/>
            <w:r w:rsidRPr="00FA130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A1302">
              <w:rPr>
                <w:rFonts w:ascii="Times New Roman" w:hAnsi="Times New Roman" w:cs="Times New Roman"/>
                <w:sz w:val="20"/>
                <w:szCs w:val="20"/>
              </w:rPr>
              <w:t>. Атамановка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финансирования не определен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детской школы искусств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библиотеки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Арахлей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Текущий ремонт филиала МБУК «РДК» в с. Верх-Чита,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Сивяково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Создание культурного центра в быстровозводимой конструкции с полным оснащением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Приобретение быстровозводимой конструкции с полным оснащением для размещения МБУ ДО «ДШИ»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МБУ ДО «ДШИ»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филиала МБУК «РДК» с. Елизаветино,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Карповка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Сивяково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с. Беклемишево, с. Ингода,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Засопка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Текущий ремонт филиала МБУК «РДК» в с. Ильинка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Текущий ремонт филиала МБУК «МЦРБ» Центральная детская библиотека в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Атамановка,с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Жипковщина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МБУК КДЦ «Радуга»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модульной конструкции дома культуры в с. Лесной городок,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с. Угдан,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Сохондо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Комплексная модернизация библиотек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Число пользователей общедоступных библиотек, тысяч человек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Повышение квалификации и переподготовка кадров 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Доля специалистов, прошедших повышение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квалификации, обучение,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Доля специалистов, прошедших повышение квалификации, обучение,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8A7A0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проведенных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 xml:space="preserve"> 1.3.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развития сферы физической культуры и спорта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сети плоскостных спортивных сооружений в сельской местности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с/п «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Домнинское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«Развитие физической культуры и спорта муниципального района «Читинский район» на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2015-2021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Ввод в действие плоскостных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в реализации мероприятий по строительству спортивных объектов на территории городских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спортивных объектов на территории СП «Верх-Читинское»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Федеральный, краевой,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универсальных спортивных площадок с искусственным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спортивных объектов на территории СП «Смоленское», «Шишкинское»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Федеральный, краевой,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тренажерных комплексов с теневым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физкультурно-спортивного комплекса в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Смоленка</w:t>
            </w:r>
            <w:proofErr w:type="spellEnd"/>
            <w:r w:rsidR="000E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0E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Атамановка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0E1AA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0E1AA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и установка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уличных тренажерных комплексов с теневым навесом в с. Смоленка,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Бургень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Сивяково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79001E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1.4. Обеспечение развития молодежной политики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Обучение специалистов 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Проведение слета молодежи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рамках финансирования текущей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Выпуск информационных материалов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экземпляров, единиц, статей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мероприятий, направленных на развитие добровольческой (волонтерской) деятельности молодежи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 рамках деятельности Комитета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Проведение различных мероприятий для молодежи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5A526C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1.5. Создание условий для улучшения демографической ситуации на территории муниципального района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акций, профилактических мероприятий, направленных на пропаганду здорового образа жизни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акций в год,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деятельности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МБУК «МЦРБ»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рамках текущего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акций в год,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образования,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деятельности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«Противодействие табакокурению, злоупотреблению наркотиками, их незаконному обороту и алкоголизации населения на период 2014-2020гг. в муниципальном районе «Читинский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акций в год,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субсидий молодым семьям, нуждающимся в улучшении жилищных условий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2019-2020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финансирования подпрограммы «Обеспечение жильем молодых семей» государстве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нной программы Забайкальского края «Развитие территорий и жилищная политика Забайкальского края» (федеральный, краевой, местный)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семей,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EF12F1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1.6. Создание условий для привлечения и сохранения трудовых ресурсов на территории муниципального района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профессионального обучения (переобучения) по востребованным на рынке труда профессиям и специальностям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граждан, прошедших переобучение,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Оказание государственных услуг по подбору подходящей работы гражданам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Государственная программа Забайкальского края «Содействия занятости населения на 2014-2020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трудоустроенных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мероприятий, направленных на создание новых рабочих мест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созданных рабочих мест,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Вовлечение в предпринимательскую деятельность безработных граждан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Государственная программа Забайкальского края «Содействие занятости населения на 2014-2020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безработных граждан, вовлеченных в предпринимательскую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Реализация мер, направленных на улучшение условий и охраны труда, снижение риска смертности и травматизма на производстве, профессиональных заболеваний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Разработка и реализация региональной программы «Нулевой травматизм», количество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мероприятий, направленных на развитие системы специальной оценки условий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EF12F1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 2. Создание комфортной среды для проживания и посещения территории</w:t>
            </w:r>
          </w:p>
        </w:tc>
      </w:tr>
      <w:tr w:rsidR="0086297A" w:rsidRPr="00135B82" w:rsidTr="00EF12F1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2.1 Создание условий для развития дорожного хозяйства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пользования, 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349,89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Проектирование организации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район», Забайкальского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Проектирование организации дорожного движения,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Обследование автомобильных дорог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обследований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Освещение улично-дорожной сети населенных пунктов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Освещение улично-дорожной сети,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Обустройство автобусных остановок по маршрутам движения автобусов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Средства дорожного фонда муниципального района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«Читинский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Обустройство автобусных остановок,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Строительство и обустройство пешеходных тротуаров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район», Забайкальского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Обустройство пешеходных тротуаров,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информационной деятельности в сфере обеспечения безопасных условий движения на дорогах, а также для воспитания навыков правильного поведения на дорогах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статей в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муниципального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район», Забайкальского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и ремонт автомобильных дорог, 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EF12F1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2.2 Благоустройство территорий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направленных на выполнение работ по комплексному благоустройству дворовых территорий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Программа «Комфортн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ая городская среда» (федеральный, краевой, местный)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Асфальтирование дворовых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территорий, благоустройство и повышение качества и комфорта городской среды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кладбищ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убранных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площадок и мест отдыха для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Программа «Комфортная городская среда» (федеральный, краевой, местный)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очистных сооружений в </w:t>
            </w:r>
            <w:r w:rsidR="004D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Беклемишево,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Новая Кука,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Новокручининский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Маккавеево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4D29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модульного очистного сооружения в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Сохондо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водозащитных дамб в с. Верх-Чита,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Шишкино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9B361B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2.3 Развитие жилищно-коммунального хозяйства и обеспечение благоприятными жилищными условиями населения муниципального района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(выкуп) жилья для переселения граждан из аварийного жилищного фонда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фонда»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(федеральный, краевой, местный)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Приобретенных (выкупленных) объектов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переселения граждан из аварийного жилищного фонда,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объектов аварийного жилищного фонда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фонда»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Финансирование не предусмотрено)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объектов аварийного жилья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фонда» (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Финансирование не предусмотрено)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прошедших оценку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Строительство и модернизация систем коммунальной инфраструктуры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Замена и ремонт котельного, насосного оборудования, запорной арматуры, автоматизация производства,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6,93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Установка (замена) приборов учета в муниципальных бюджетных учреждениях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Количество узлов учета,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Реконструкция (замена) водопроводных сетей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2019-20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Краевой бюджет, местный бюджет,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финансовые средства концессионеров.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км.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1,58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1,8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Реконструкция (замена) канализационных сетей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3,95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Реконструкция (замена) сетей теплоснабжения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(бурение) артезианских скважин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скважин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объектов водоснабжения (водонапорных пунктов)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  <w:lang w:eastAsia="ru-RU"/>
              </w:rPr>
              <w:t xml:space="preserve">Капитальный ремонт общего имущества в многоквартирных домах, расположенных на территории </w:t>
            </w:r>
            <w:r w:rsidRPr="00135B82">
              <w:rPr>
                <w:bCs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  <w:p w:rsidR="0086297A" w:rsidRPr="00135B82" w:rsidRDefault="0086297A" w:rsidP="0086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«Читинский район»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ind w:left="20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  <w:lang w:eastAsia="ru-RU"/>
              </w:rPr>
              <w:t xml:space="preserve">Муниципальная программа «Капитальный ремонт общего имущества </w:t>
            </w:r>
            <w:r w:rsidRPr="00135B82">
              <w:rPr>
                <w:bCs/>
                <w:sz w:val="20"/>
                <w:szCs w:val="20"/>
                <w:lang w:eastAsia="ru-RU"/>
              </w:rPr>
              <w:lastRenderedPageBreak/>
              <w:t>в многоквартирных домах, расположенных на территории муниципального района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bCs/>
                <w:sz w:val="20"/>
                <w:szCs w:val="20"/>
              </w:rPr>
              <w:t>«Читинский район» на период 2014-2043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объектов, заведенных в программу капитального ремонта по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Читинскому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9B361B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Цель 3. Формирование благоприятного экономического климата</w:t>
            </w:r>
          </w:p>
        </w:tc>
      </w:tr>
      <w:tr w:rsidR="0086297A" w:rsidRPr="00135B82" w:rsidTr="009B361B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3.1. Создание условий для устойчивого развития малого и среднего предпринимательства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Предоставление информационной поддержки субъектам предпринимательской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Увеличение количества уникальных субъектов, получивших консультации,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 xml:space="preserve">Реализация мероприятий, направленных на повышение информированности предпринимательского сообщества и популяризацию деятельности субъектов </w:t>
            </w:r>
            <w:r w:rsidRPr="00135B82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финансовой поддержки субъектам предпринимательской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Муниципальная программа «Экономическое развитие в муниципальном районе «Читинский район» (2021-2025 годы)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субъектов предпринимательской деятельности, получивших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условий для участия субъектов предпринимательской деятельности в </w:t>
            </w:r>
            <w:r w:rsidRPr="00135B82">
              <w:rPr>
                <w:sz w:val="20"/>
                <w:szCs w:val="20"/>
              </w:rPr>
              <w:t>закупках товаров, работ, услуг для обеспечения муниципальных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Доля муниципальных закупок, размещенных у субъектов малого и среднего предпринимательства,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</w:rPr>
              <w:t>Реализация мероприятий, направленных на ликвидацию административных барьеров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реализуются,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47656E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3.2. </w:t>
            </w:r>
            <w:r w:rsidRPr="00135B82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35B82">
              <w:rPr>
                <w:sz w:val="20"/>
                <w:szCs w:val="20"/>
                <w:lang w:eastAsia="zh-CN"/>
              </w:rPr>
              <w:t xml:space="preserve">Консультирование инвесторов по вопросам мер государственной и муниципальной </w:t>
            </w:r>
            <w:r w:rsidRPr="00135B82">
              <w:rPr>
                <w:sz w:val="20"/>
                <w:szCs w:val="20"/>
                <w:lang w:eastAsia="zh-CN"/>
              </w:rPr>
              <w:lastRenderedPageBreak/>
              <w:t>поддержки инвестиционной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субъектов, получивших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Ведение перечня инвестиционных проектов, реализуемых или планируемых к реализации на территории муниципального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сформирован,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Актуализация инвестиционного паспорта муниципального района «Читинский район»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Паспорт актуализирован,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перечня </w:t>
            </w:r>
            <w:r w:rsidRPr="00135B82">
              <w:rPr>
                <w:sz w:val="20"/>
                <w:szCs w:val="20"/>
              </w:rPr>
      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</w:t>
            </w:r>
            <w:r w:rsidRPr="00135B82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сформирован,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 администрации</w:t>
            </w:r>
          </w:p>
        </w:tc>
      </w:tr>
      <w:tr w:rsidR="0086297A" w:rsidRPr="00135B82" w:rsidTr="0047656E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Задача 3.3. </w:t>
            </w:r>
            <w:bookmarkStart w:id="1" w:name="_Toc295206961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bookmarkEnd w:id="1"/>
            <w:r w:rsidRPr="00135B82"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Предоставление субсидий на приобретение (строительство) жилья гражданам, проживающим на сельских территориях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Муниципальная программа «Комплексное развитие сельских территорий2020-2025 г. г.»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bCs/>
                <w:sz w:val="20"/>
                <w:szCs w:val="20"/>
              </w:rPr>
              <w:t>Количество семей, улучшивших жилищные условия, проживающих на сельских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ind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Муниципальная программа «Комплексное развитие сельских территорий2020-2025 г. г.»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выделенных грантов,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ind w:right="-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Современный облик сельских территорий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cs="Times New Roman"/>
                <w:sz w:val="20"/>
                <w:szCs w:val="20"/>
              </w:rPr>
              <w:t>Муниципальная программа «Комплексное развитие сельских территорий2020-2025 г. г.»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Количество выделенных грантов,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ind w:right="-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по идентификации сельскохозяйственных животных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Доля идентифицированных животных от общего поголовья,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ind w:right="-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Взаимодействие сельхозпроизводителей с бюджетными потребителями по обеспечению сбыта продукции на выгодных условиях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Удельный вес сельскохозяйственной продукции, поставленной бюджетным потребителям от потребности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форм государственной поддержки сельскохозяйственным производителям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Компенсация части затрат по приобретению минеральных удобрений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Федеральный бюджет, </w:t>
            </w:r>
            <w:r w:rsidRPr="00135B82">
              <w:rPr>
                <w:rFonts w:eastAsia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Компенсация части затрат от стоимости минеральных удобрений,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Компенсация части затрат по приобретению средств химической защиты растений, уничтожение дикорастущую коноплю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Федеральный бюджет, </w:t>
            </w:r>
            <w:r w:rsidRPr="00135B82">
              <w:rPr>
                <w:rFonts w:eastAsia="Times New Roman"/>
                <w:bCs/>
                <w:sz w:val="20"/>
                <w:szCs w:val="20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Компенсация части затрат от стоимости приобретенных средств химической защите,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Компенсация части затрат по приобретению сельскохозяйственной техники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Федеральный бюджет, </w:t>
            </w:r>
            <w:r w:rsidRPr="00135B82">
              <w:rPr>
                <w:rFonts w:eastAsia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Компенсация части затрат от стоимости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венной техники,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Оказание содействия сельхозпроизводителям района в получении субсидии по возмещению части затрат на получение зерноочистительной техники и оборудованию.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Компенсация части затрат, от стоимости приобретенной техники,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Содействие в подготовке проектов для участия в конкурсном отборе на предоставление грантовой поддержки начинающим фермерам и развития семейных ферм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претендентов для участия в конкурсных отборах по программе «Начинающий фермер» и «Семейные животноводческие фермы»,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86297A" w:rsidRPr="00135B82" w:rsidTr="0047656E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 4. Создание безопасной жизненной среды для проживания и посещения территории</w:t>
            </w:r>
          </w:p>
        </w:tc>
      </w:tr>
      <w:tr w:rsidR="0086297A" w:rsidRPr="00135B82" w:rsidTr="0047656E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4.1.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убранных несанкционированных свалок,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47656E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 5. Создание эффективной системы управления территорией в тесном взаимодействии местного сообщества, общественных институтов и укрепление внешних связей</w:t>
            </w:r>
          </w:p>
        </w:tc>
      </w:tr>
      <w:tr w:rsidR="0086297A" w:rsidRPr="00135B82" w:rsidTr="0047656E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5.1. Формирование новой информационной среды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поддержки гражданам в получении государственных и муниципальных услуг в электронной форме (работа с учетными записями ЕСИА)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ИТ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Переход на систему межведомственного электронного документооборота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компьютеров, с установленной системой электронного документооборота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ИТ, МБУ «Центр МТТО»</w:t>
            </w:r>
          </w:p>
        </w:tc>
      </w:tr>
      <w:tr w:rsidR="0086297A" w:rsidRPr="00135B82" w:rsidTr="0047656E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Задача 5.2.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Развитие муниципальной службы и противодействие коррупции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Осуществление мер по противодействию коррупции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Реализация мероприятий, направленных на снижение уровня коррупции при исполнении муниципальных функций и предоставлении муниципальных услуг органами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местного самоуправления,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Профессиональное развитие муниципальных служащих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Повышение квалификации и профессионализма муниципальных служащих,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использование кадрового резерва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источника высококвалифицированных кадров для замещения вакантных должностей,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9552A8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5.3.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муниципального имущества и земли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Постановка на кадастровый учет, оформление права собственности на объекты недвижимого имущества, проведение оценочных процедур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графика регистрации права собственности муниципального района,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муниципального имущества в пользование по договорам аренды, концессионным соглашениям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перечня объектов муниципального имущества, в отношении которых планируется заключение концессионных соглашений,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мероприятий, направленных на реализацию муниципального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Актуализация перечня имущества муниципального района, подлежащего приватизации,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проверок эффективности использования муниципального имущества муниципальными учреждениями и предприятиями, арендаторами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графика проверок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сохранности и использования по назначению муниципального имущества,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Формирование муниципального земельного фонда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фонд сформирован,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Формирование земельных участков для предоставления льготным категориям граждан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Участки сформированы,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86297A" w:rsidRPr="00135B82" w:rsidTr="009552A8">
        <w:trPr>
          <w:trHeight w:val="283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bCs/>
                <w:sz w:val="20"/>
                <w:lang w:eastAsia="ru-RU"/>
              </w:rPr>
              <w:t xml:space="preserve">Задача 5.4. </w:t>
            </w:r>
            <w:r w:rsidRPr="00135B82">
              <w:rPr>
                <w:rFonts w:ascii="Times New Roman" w:hAnsi="Times New Roman"/>
                <w:sz w:val="20"/>
              </w:rPr>
              <w:t>Развитие межмуниципального сотрудничества</w:t>
            </w:r>
          </w:p>
        </w:tc>
      </w:tr>
      <w:tr w:rsidR="0086297A" w:rsidRPr="00135B82" w:rsidTr="00C946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взаимодействия с АСМО Забайкальского края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мероприятий в целях координации согласованных действий по развитию и укреплению местного самоуправления в регионе,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район», МО поселений</w:t>
            </w:r>
          </w:p>
        </w:tc>
      </w:tr>
    </w:tbl>
    <w:p w:rsidR="00AA52F2" w:rsidRPr="00135B82" w:rsidRDefault="00AA52F2" w:rsidP="004765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A52F2" w:rsidRPr="00135B82" w:rsidSect="00FD20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2"/>
    <w:rsid w:val="00030CDD"/>
    <w:rsid w:val="00057D52"/>
    <w:rsid w:val="000853B5"/>
    <w:rsid w:val="000C24BB"/>
    <w:rsid w:val="000E1AA0"/>
    <w:rsid w:val="00120844"/>
    <w:rsid w:val="00135B82"/>
    <w:rsid w:val="00171D0D"/>
    <w:rsid w:val="001A2576"/>
    <w:rsid w:val="001B2CD6"/>
    <w:rsid w:val="001C7EBC"/>
    <w:rsid w:val="00236ECC"/>
    <w:rsid w:val="0024627B"/>
    <w:rsid w:val="0028541B"/>
    <w:rsid w:val="00286902"/>
    <w:rsid w:val="002D313F"/>
    <w:rsid w:val="002E6A3A"/>
    <w:rsid w:val="002F3054"/>
    <w:rsid w:val="00313A71"/>
    <w:rsid w:val="003270A0"/>
    <w:rsid w:val="003607DB"/>
    <w:rsid w:val="003C50EF"/>
    <w:rsid w:val="003E462B"/>
    <w:rsid w:val="003F27FC"/>
    <w:rsid w:val="00414806"/>
    <w:rsid w:val="004221B4"/>
    <w:rsid w:val="00426DCE"/>
    <w:rsid w:val="00440732"/>
    <w:rsid w:val="0047656E"/>
    <w:rsid w:val="004A6522"/>
    <w:rsid w:val="004B3F0F"/>
    <w:rsid w:val="004D291E"/>
    <w:rsid w:val="004D67E6"/>
    <w:rsid w:val="004E7B85"/>
    <w:rsid w:val="004F038D"/>
    <w:rsid w:val="005245F6"/>
    <w:rsid w:val="0053663E"/>
    <w:rsid w:val="00544BFB"/>
    <w:rsid w:val="00574CA1"/>
    <w:rsid w:val="00587093"/>
    <w:rsid w:val="005919AA"/>
    <w:rsid w:val="0059321B"/>
    <w:rsid w:val="00594C65"/>
    <w:rsid w:val="00596655"/>
    <w:rsid w:val="005A526C"/>
    <w:rsid w:val="005D1E11"/>
    <w:rsid w:val="00614643"/>
    <w:rsid w:val="00674986"/>
    <w:rsid w:val="00676715"/>
    <w:rsid w:val="00694A77"/>
    <w:rsid w:val="006B6F74"/>
    <w:rsid w:val="006D5F6E"/>
    <w:rsid w:val="00704568"/>
    <w:rsid w:val="00712827"/>
    <w:rsid w:val="00717AAC"/>
    <w:rsid w:val="00736138"/>
    <w:rsid w:val="007459D1"/>
    <w:rsid w:val="0079001E"/>
    <w:rsid w:val="00807EFC"/>
    <w:rsid w:val="0086297A"/>
    <w:rsid w:val="00880A5F"/>
    <w:rsid w:val="008A7A07"/>
    <w:rsid w:val="008A7EE2"/>
    <w:rsid w:val="008E5C50"/>
    <w:rsid w:val="008F3264"/>
    <w:rsid w:val="0090348C"/>
    <w:rsid w:val="0091129E"/>
    <w:rsid w:val="009552A8"/>
    <w:rsid w:val="009B24EC"/>
    <w:rsid w:val="009B361B"/>
    <w:rsid w:val="009E7B12"/>
    <w:rsid w:val="00A0377B"/>
    <w:rsid w:val="00A26593"/>
    <w:rsid w:val="00A64C51"/>
    <w:rsid w:val="00AA52F2"/>
    <w:rsid w:val="00AA64B0"/>
    <w:rsid w:val="00AB1FC4"/>
    <w:rsid w:val="00AD3F64"/>
    <w:rsid w:val="00B118E0"/>
    <w:rsid w:val="00B21BB0"/>
    <w:rsid w:val="00B3190C"/>
    <w:rsid w:val="00B549BE"/>
    <w:rsid w:val="00B90B91"/>
    <w:rsid w:val="00BA6FB7"/>
    <w:rsid w:val="00BB5377"/>
    <w:rsid w:val="00C33B83"/>
    <w:rsid w:val="00C468B8"/>
    <w:rsid w:val="00C5344C"/>
    <w:rsid w:val="00C81BC6"/>
    <w:rsid w:val="00C87190"/>
    <w:rsid w:val="00C94639"/>
    <w:rsid w:val="00CA0BC1"/>
    <w:rsid w:val="00CB1B4C"/>
    <w:rsid w:val="00D15A6F"/>
    <w:rsid w:val="00D17C83"/>
    <w:rsid w:val="00D2638F"/>
    <w:rsid w:val="00D467AC"/>
    <w:rsid w:val="00D65297"/>
    <w:rsid w:val="00D707D4"/>
    <w:rsid w:val="00D95E98"/>
    <w:rsid w:val="00DE2BB6"/>
    <w:rsid w:val="00DF2DF8"/>
    <w:rsid w:val="00E0033D"/>
    <w:rsid w:val="00E45750"/>
    <w:rsid w:val="00E87113"/>
    <w:rsid w:val="00EF12F1"/>
    <w:rsid w:val="00F00CBB"/>
    <w:rsid w:val="00F035ED"/>
    <w:rsid w:val="00F1049D"/>
    <w:rsid w:val="00F13BE6"/>
    <w:rsid w:val="00F23F1B"/>
    <w:rsid w:val="00F67353"/>
    <w:rsid w:val="00F9342E"/>
    <w:rsid w:val="00FA1302"/>
    <w:rsid w:val="00FB6084"/>
    <w:rsid w:val="00FC718D"/>
    <w:rsid w:val="00FD20B6"/>
    <w:rsid w:val="00FE63BA"/>
    <w:rsid w:val="00FF336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D3D6"/>
  <w15:docId w15:val="{FF8D03D0-3FB3-461C-A0F5-A3AD9F1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B361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361B"/>
    <w:pPr>
      <w:shd w:val="clear" w:color="auto" w:fill="FFFFFF"/>
      <w:spacing w:after="0" w:line="326" w:lineRule="exact"/>
      <w:jc w:val="center"/>
    </w:pPr>
    <w:rPr>
      <w:rFonts w:ascii="Times New Roman" w:hAnsi="Times New Roman"/>
      <w:sz w:val="28"/>
      <w:szCs w:val="28"/>
    </w:rPr>
  </w:style>
  <w:style w:type="table" w:styleId="a3">
    <w:name w:val="Table Grid"/>
    <w:basedOn w:val="a1"/>
    <w:uiPriority w:val="39"/>
    <w:rsid w:val="00D9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48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Экономика</cp:lastModifiedBy>
  <cp:revision>9</cp:revision>
  <dcterms:created xsi:type="dcterms:W3CDTF">2022-10-18T00:12:00Z</dcterms:created>
  <dcterms:modified xsi:type="dcterms:W3CDTF">2022-11-21T23:49:00Z</dcterms:modified>
</cp:coreProperties>
</file>