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3601"/>
      </w:tblGrid>
      <w:tr w:rsidR="00137245" w:rsidRPr="00152751" w:rsidTr="003A70A9">
        <w:trPr>
          <w:trHeight w:val="1408"/>
        </w:trPr>
        <w:tc>
          <w:tcPr>
            <w:tcW w:w="5920" w:type="dxa"/>
          </w:tcPr>
          <w:p w:rsidR="00137245" w:rsidRPr="00152751" w:rsidRDefault="00137245" w:rsidP="00137245">
            <w:pPr>
              <w:ind w:firstLine="0"/>
              <w:jc w:val="right"/>
              <w:rPr>
                <w:rFonts w:ascii="Times New Roman" w:hAnsi="Times New Roman"/>
                <w:szCs w:val="28"/>
              </w:rPr>
            </w:pPr>
          </w:p>
        </w:tc>
        <w:tc>
          <w:tcPr>
            <w:tcW w:w="3651" w:type="dxa"/>
          </w:tcPr>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Приложение № 1</w:t>
            </w:r>
          </w:p>
          <w:p w:rsidR="003A70A9" w:rsidRPr="00152751" w:rsidRDefault="003A70A9" w:rsidP="003A70A9">
            <w:pPr>
              <w:ind w:firstLine="0"/>
              <w:jc w:val="center"/>
              <w:rPr>
                <w:rFonts w:ascii="Times New Roman" w:hAnsi="Times New Roman"/>
                <w:bCs/>
                <w:sz w:val="22"/>
                <w:szCs w:val="28"/>
              </w:rPr>
            </w:pPr>
            <w:r w:rsidRPr="00152751">
              <w:rPr>
                <w:rFonts w:ascii="Times New Roman" w:hAnsi="Times New Roman"/>
                <w:bCs/>
                <w:sz w:val="22"/>
                <w:szCs w:val="28"/>
              </w:rPr>
              <w:t>Утверждено</w:t>
            </w:r>
          </w:p>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решением Совета муниципального района «Читинский район»</w:t>
            </w:r>
          </w:p>
          <w:p w:rsidR="00137245" w:rsidRPr="00152751" w:rsidRDefault="003A70A9" w:rsidP="00514CFA">
            <w:pPr>
              <w:ind w:firstLine="0"/>
              <w:jc w:val="center"/>
              <w:rPr>
                <w:rFonts w:ascii="Times New Roman" w:hAnsi="Times New Roman"/>
                <w:szCs w:val="28"/>
              </w:rPr>
            </w:pPr>
            <w:r w:rsidRPr="00152751">
              <w:rPr>
                <w:rFonts w:ascii="Times New Roman" w:hAnsi="Times New Roman"/>
                <w:sz w:val="22"/>
                <w:szCs w:val="28"/>
              </w:rPr>
              <w:t>от «</w:t>
            </w:r>
            <w:r w:rsidR="00514CFA">
              <w:rPr>
                <w:rFonts w:ascii="Times New Roman" w:hAnsi="Times New Roman"/>
                <w:sz w:val="22"/>
                <w:szCs w:val="28"/>
              </w:rPr>
              <w:t>23</w:t>
            </w:r>
            <w:r w:rsidRPr="00152751">
              <w:rPr>
                <w:rFonts w:ascii="Times New Roman" w:hAnsi="Times New Roman"/>
                <w:sz w:val="22"/>
                <w:szCs w:val="28"/>
              </w:rPr>
              <w:t>»_</w:t>
            </w:r>
            <w:r w:rsidR="00514CFA" w:rsidRPr="00514CFA">
              <w:rPr>
                <w:rFonts w:ascii="Times New Roman" w:hAnsi="Times New Roman"/>
                <w:sz w:val="22"/>
                <w:szCs w:val="28"/>
                <w:u w:val="single"/>
              </w:rPr>
              <w:t>июля</w:t>
            </w:r>
            <w:r w:rsidRPr="00152751">
              <w:rPr>
                <w:rFonts w:ascii="Times New Roman" w:hAnsi="Times New Roman"/>
                <w:sz w:val="22"/>
                <w:szCs w:val="28"/>
              </w:rPr>
              <w:t>__2019 года №_</w:t>
            </w:r>
            <w:r w:rsidR="00514CFA" w:rsidRPr="00514CFA">
              <w:rPr>
                <w:rFonts w:ascii="Times New Roman" w:hAnsi="Times New Roman"/>
                <w:sz w:val="22"/>
                <w:szCs w:val="28"/>
                <w:u w:val="single"/>
              </w:rPr>
              <w:t>107</w:t>
            </w:r>
          </w:p>
        </w:tc>
      </w:tr>
    </w:tbl>
    <w:p w:rsidR="007629DA" w:rsidRPr="00152751" w:rsidRDefault="007629DA" w:rsidP="007F263A">
      <w:pPr>
        <w:shd w:val="clear" w:color="auto" w:fill="FFFFFF"/>
        <w:ind w:firstLine="709"/>
        <w:jc w:val="center"/>
        <w:textAlignment w:val="baseline"/>
        <w:rPr>
          <w:rFonts w:ascii="Times New Roman" w:hAnsi="Times New Roman"/>
          <w:b/>
          <w:spacing w:val="2"/>
          <w:sz w:val="28"/>
          <w:szCs w:val="31"/>
        </w:rPr>
      </w:pPr>
      <w:r w:rsidRPr="00152751">
        <w:rPr>
          <w:rFonts w:ascii="Times New Roman" w:hAnsi="Times New Roman"/>
          <w:b/>
          <w:spacing w:val="2"/>
          <w:sz w:val="28"/>
          <w:szCs w:val="31"/>
        </w:rPr>
        <w:t>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 Настоящий Порядок устанавливает правила определения и минимальное значение расстояний от организаций и (или) объектов, на территориях которых не допускается розничная продажа алкогольной продукции, до границ, прилегающих к ним территорий, на территории городских и сельских поселений муниципального района «Читинский район».</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 Розничная продажа алкогольной продукции не допускается на территориях, прилегающих:</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2.1. к детским, образовательным, медицинским организациям и объектам спорта;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2.2.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2.3. к объектам военного назначения.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 В настоящем Порядке используются следующие понятия: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3.1.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кроме кода 80.10.3);</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3.2.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3.3. «Медицинские организации» -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и индивидуальные предприниматели, осуществляющие медицинскую деятельность на основании лицензии, выданной в порядке, установленном законодательством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3.4.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lastRenderedPageBreak/>
        <w:t>3.5.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настоящего Порядка;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4. Территория, прилегающая к организациям и объектам, указанным в пункте 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настоящего Порядка (далее - дополнительная территория).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 Дополнительная территория определяется: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5.1.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5.2.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2 настоящего Порядка, до входа для посетителей в стационарный торговый объект.</w:t>
      </w:r>
    </w:p>
    <w:p w:rsidR="007629DA" w:rsidRPr="00152751" w:rsidRDefault="007629DA" w:rsidP="007F263A">
      <w:pPr>
        <w:shd w:val="clear" w:color="auto" w:fill="FFFFFF"/>
        <w:ind w:firstLine="709"/>
        <w:contextualSpacing/>
        <w:textAlignment w:val="baseline"/>
        <w:rPr>
          <w:rFonts w:ascii="Times New Roman" w:hAnsi="Times New Roman"/>
          <w:spacing w:val="2"/>
          <w:sz w:val="28"/>
          <w:szCs w:val="28"/>
        </w:rPr>
      </w:pPr>
      <w:r w:rsidRPr="00152751">
        <w:rPr>
          <w:rFonts w:ascii="Times New Roman" w:hAnsi="Times New Roman"/>
          <w:spacing w:val="2"/>
          <w:sz w:val="28"/>
          <w:szCs w:val="28"/>
        </w:rPr>
        <w:t xml:space="preserve">6. </w:t>
      </w:r>
      <w:r w:rsidR="009D5849">
        <w:rPr>
          <w:rFonts w:ascii="Times New Roman" w:hAnsi="Times New Roman"/>
          <w:spacing w:val="2"/>
          <w:sz w:val="28"/>
          <w:szCs w:val="28"/>
        </w:rPr>
        <w:t>Утратил силу.</w:t>
      </w:r>
      <w:bookmarkStart w:id="0" w:name="_GoBack"/>
      <w:bookmarkEnd w:id="0"/>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7. Территорией, прилегающей к организациям и (или) объектам, указанным в пункте 2 настоящего Порядка, на которой не допускается розничная продажа алкогольной продукции, признается территория, распол</w:t>
      </w:r>
      <w:r w:rsidR="00AA335A" w:rsidRPr="00152751">
        <w:rPr>
          <w:rFonts w:ascii="Times New Roman" w:hAnsi="Times New Roman"/>
          <w:spacing w:val="2"/>
          <w:sz w:val="28"/>
          <w:szCs w:val="28"/>
        </w:rPr>
        <w:t>оженная на расстоянии не менее 10</w:t>
      </w:r>
      <w:r w:rsidRPr="00152751">
        <w:rPr>
          <w:rFonts w:ascii="Times New Roman" w:hAnsi="Times New Roman"/>
          <w:spacing w:val="2"/>
          <w:sz w:val="28"/>
          <w:szCs w:val="28"/>
        </w:rPr>
        <w:t>0 метров от данных организаций и объектов.</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8. Расстояние от организаций и (или) объектов, указанных в пункте 2 настоящего Порядка, до стационарных торговых объектов измеряется по кратчайшему пути пешеходного следования по тротуарам, пешеходным дорожкам (при их отсутствии - по обочинам, краям проезжих частей), пешеходным переходам. При пересечении пешеходной зоны с проезжей частью расстояние измеряется по ближайшему пешеходному переходу.</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9. При наличии у организации и (или) объекта, на территории которого не допускается розничная продажа алкогольной продукции, более одного входа (выхода) для посетителей, прилегающая территория определяется от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10. При наличии у стационарного торгового объекта более одного входа (вы хода) для посетителей прилегающая территория определяется для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11. Пожарные, запасные и иные входы (выходы) в здания, строения, сооружения, которые не используются для посетителей, при определении границ прилегающих территорий не учитываются.</w:t>
      </w:r>
    </w:p>
    <w:p w:rsidR="007629DA" w:rsidRPr="00152751" w:rsidRDefault="007629DA" w:rsidP="007F263A">
      <w:pPr>
        <w:shd w:val="clear" w:color="auto" w:fill="FFFFFF"/>
        <w:ind w:firstLine="709"/>
        <w:textAlignment w:val="baseline"/>
        <w:rPr>
          <w:rFonts w:ascii="Times New Roman" w:hAnsi="Times New Roman"/>
          <w:spacing w:val="2"/>
          <w:sz w:val="21"/>
          <w:szCs w:val="21"/>
        </w:rPr>
      </w:pPr>
      <w:r w:rsidRPr="00152751">
        <w:rPr>
          <w:rFonts w:ascii="Times New Roman" w:hAnsi="Times New Roman"/>
          <w:spacing w:val="2"/>
          <w:sz w:val="21"/>
          <w:szCs w:val="21"/>
        </w:rPr>
        <w:br/>
      </w:r>
      <w:r w:rsidRPr="00152751">
        <w:rPr>
          <w:rFonts w:ascii="Times New Roman" w:hAnsi="Times New Roman"/>
          <w:spacing w:val="2"/>
          <w:sz w:val="21"/>
          <w:szCs w:val="21"/>
        </w:rPr>
        <w:br/>
      </w:r>
    </w:p>
    <w:p w:rsidR="007629DA" w:rsidRPr="00152751" w:rsidRDefault="007629DA" w:rsidP="007629DA">
      <w:pPr>
        <w:spacing w:after="200" w:line="276" w:lineRule="auto"/>
        <w:ind w:firstLine="0"/>
        <w:jc w:val="left"/>
        <w:rPr>
          <w:rFonts w:ascii="Times New Roman" w:hAnsi="Times New Roman"/>
          <w:spacing w:val="2"/>
          <w:sz w:val="31"/>
          <w:szCs w:val="31"/>
        </w:rPr>
      </w:pPr>
    </w:p>
    <w:sectPr w:rsidR="007629DA" w:rsidRPr="00152751"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07" w:rsidRDefault="00832807" w:rsidP="004E3601">
      <w:r>
        <w:separator/>
      </w:r>
    </w:p>
  </w:endnote>
  <w:endnote w:type="continuationSeparator" w:id="0">
    <w:p w:rsidR="00832807" w:rsidRDefault="00832807"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07" w:rsidRDefault="00832807" w:rsidP="004E3601">
      <w:r>
        <w:separator/>
      </w:r>
    </w:p>
  </w:footnote>
  <w:footnote w:type="continuationSeparator" w:id="0">
    <w:p w:rsidR="00832807" w:rsidRDefault="00832807"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F9"/>
    <w:rsid w:val="00011EC4"/>
    <w:rsid w:val="00012409"/>
    <w:rsid w:val="00014DB4"/>
    <w:rsid w:val="00015019"/>
    <w:rsid w:val="00020E45"/>
    <w:rsid w:val="00022C2A"/>
    <w:rsid w:val="000268C8"/>
    <w:rsid w:val="00030B59"/>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9013A"/>
    <w:rsid w:val="00092845"/>
    <w:rsid w:val="000971A2"/>
    <w:rsid w:val="000B222A"/>
    <w:rsid w:val="000B58F8"/>
    <w:rsid w:val="000B745F"/>
    <w:rsid w:val="000C1D88"/>
    <w:rsid w:val="000C641B"/>
    <w:rsid w:val="000C7414"/>
    <w:rsid w:val="000C773A"/>
    <w:rsid w:val="000E26B4"/>
    <w:rsid w:val="000E5610"/>
    <w:rsid w:val="000E6038"/>
    <w:rsid w:val="000E7E99"/>
    <w:rsid w:val="000F0C1F"/>
    <w:rsid w:val="000F62B0"/>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6A2C"/>
    <w:rsid w:val="00222716"/>
    <w:rsid w:val="00223A6C"/>
    <w:rsid w:val="0022610F"/>
    <w:rsid w:val="002328DF"/>
    <w:rsid w:val="00234C29"/>
    <w:rsid w:val="00236BC7"/>
    <w:rsid w:val="00240E99"/>
    <w:rsid w:val="00241CBF"/>
    <w:rsid w:val="00245159"/>
    <w:rsid w:val="002466C1"/>
    <w:rsid w:val="002546A2"/>
    <w:rsid w:val="002567A9"/>
    <w:rsid w:val="002573E0"/>
    <w:rsid w:val="00261D6E"/>
    <w:rsid w:val="00264ED4"/>
    <w:rsid w:val="00275C39"/>
    <w:rsid w:val="00281D54"/>
    <w:rsid w:val="00285985"/>
    <w:rsid w:val="002934BF"/>
    <w:rsid w:val="00294EA7"/>
    <w:rsid w:val="002A1AB4"/>
    <w:rsid w:val="002A2876"/>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E1B47"/>
    <w:rsid w:val="004E3601"/>
    <w:rsid w:val="004E3756"/>
    <w:rsid w:val="004E3F71"/>
    <w:rsid w:val="004E730D"/>
    <w:rsid w:val="004E7C2F"/>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14CFA"/>
    <w:rsid w:val="00527050"/>
    <w:rsid w:val="00527BBA"/>
    <w:rsid w:val="00530284"/>
    <w:rsid w:val="005303CB"/>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471"/>
    <w:rsid w:val="00565DFD"/>
    <w:rsid w:val="0058196B"/>
    <w:rsid w:val="00581E2A"/>
    <w:rsid w:val="005826AE"/>
    <w:rsid w:val="00583B40"/>
    <w:rsid w:val="00584838"/>
    <w:rsid w:val="005914CD"/>
    <w:rsid w:val="00597C9E"/>
    <w:rsid w:val="005A2647"/>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A5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110CA"/>
    <w:rsid w:val="00814124"/>
    <w:rsid w:val="008174FD"/>
    <w:rsid w:val="00817A6E"/>
    <w:rsid w:val="0082003C"/>
    <w:rsid w:val="00823746"/>
    <w:rsid w:val="00832807"/>
    <w:rsid w:val="00833997"/>
    <w:rsid w:val="00836ADF"/>
    <w:rsid w:val="00837F30"/>
    <w:rsid w:val="0084009B"/>
    <w:rsid w:val="00842069"/>
    <w:rsid w:val="00842528"/>
    <w:rsid w:val="00845BB6"/>
    <w:rsid w:val="00847047"/>
    <w:rsid w:val="008537E7"/>
    <w:rsid w:val="0085547E"/>
    <w:rsid w:val="008628A7"/>
    <w:rsid w:val="00863A8C"/>
    <w:rsid w:val="00863D64"/>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4161"/>
    <w:rsid w:val="008D18B2"/>
    <w:rsid w:val="008D2CCA"/>
    <w:rsid w:val="008D2FF9"/>
    <w:rsid w:val="008D4274"/>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57FA"/>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D5849"/>
    <w:rsid w:val="009E0994"/>
    <w:rsid w:val="009E64F3"/>
    <w:rsid w:val="009E72C2"/>
    <w:rsid w:val="009F56A4"/>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622FD"/>
    <w:rsid w:val="00C63222"/>
    <w:rsid w:val="00C67304"/>
    <w:rsid w:val="00C701F7"/>
    <w:rsid w:val="00C710DD"/>
    <w:rsid w:val="00C71874"/>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1E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45F08"/>
    <w:rsid w:val="00D53F2E"/>
    <w:rsid w:val="00D56704"/>
    <w:rsid w:val="00D60292"/>
    <w:rsid w:val="00D60E8D"/>
    <w:rsid w:val="00D62092"/>
    <w:rsid w:val="00D6617D"/>
    <w:rsid w:val="00D673C4"/>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032C"/>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B7117"/>
  <w15:docId w15:val="{377CED30-A796-4F4B-BF17-9F833DDF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B2F17-17C3-4B4D-A604-34F3E105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2</cp:revision>
  <cp:lastPrinted>2019-06-10T02:34:00Z</cp:lastPrinted>
  <dcterms:created xsi:type="dcterms:W3CDTF">2022-11-22T01:46:00Z</dcterms:created>
  <dcterms:modified xsi:type="dcterms:W3CDTF">2022-11-22T01:46:00Z</dcterms:modified>
</cp:coreProperties>
</file>