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АДМИНИСТРАЦИЯ</w:t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Муниципального района</w:t>
            </w:r>
          </w:p>
          <w:p w:rsidR="006638DD" w:rsidRPr="007B3CD6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«Читинский район»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B3CD6">
              <w:rPr>
                <w:rFonts w:eastAsiaTheme="minorEastAsia"/>
                <w:b/>
                <w:bCs/>
                <w:i/>
                <w:iCs/>
              </w:rPr>
              <w:t>672090   г. Чита</w:t>
            </w:r>
            <w:r w:rsidR="00466C2D" w:rsidRPr="007B3CD6">
              <w:rPr>
                <w:rFonts w:eastAsiaTheme="minorEastAsia"/>
                <w:b/>
                <w:bCs/>
                <w:i/>
                <w:iCs/>
              </w:rPr>
              <w:t>, ул. Ленина, 157</w:t>
            </w:r>
            <w:r w:rsidR="00466C2D" w:rsidRPr="007B3CD6">
              <w:rPr>
                <w:rFonts w:eastAsiaTheme="minorEastAsia"/>
                <w:b/>
                <w:bCs/>
                <w:i/>
                <w:iCs/>
              </w:rPr>
              <w:br/>
              <w:t xml:space="preserve"> тел. 32-00-91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007B3CD6">
              <w:rPr>
                <w:rFonts w:eastAsiaTheme="minorEastAsia"/>
                <w:b/>
                <w:bCs/>
                <w:i/>
                <w:iCs/>
                <w:lang w:val="en-US"/>
              </w:rPr>
              <w:t xml:space="preserve">E-mail: </w:t>
            </w:r>
            <w:hyperlink r:id="rId9" w:history="1">
              <w:r w:rsidRPr="007B3CD6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lang w:val="en-US"/>
                </w:rPr>
                <w:t>adm320091@yandex.ru</w:t>
              </w:r>
            </w:hyperlink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  <w:u w:val="single"/>
                <w:lang w:val="en-US"/>
              </w:rPr>
            </w:pPr>
            <w:r w:rsidRPr="007B3CD6">
              <w:rPr>
                <w:rFonts w:eastAsiaTheme="minorEastAsia"/>
                <w:b/>
                <w:bCs/>
                <w:u w:val="single"/>
              </w:rPr>
              <w:t>Сайт</w:t>
            </w:r>
            <w:r w:rsidRPr="007B3CD6">
              <w:rPr>
                <w:rFonts w:eastAsiaTheme="minorEastAsia"/>
                <w:b/>
                <w:bCs/>
                <w:u w:val="single"/>
                <w:lang w:val="en-US"/>
              </w:rPr>
              <w:t>:</w:t>
            </w:r>
            <w:r w:rsidRPr="007B3CD6">
              <w:rPr>
                <w:rFonts w:eastAsiaTheme="minorEastAsia"/>
                <w:b/>
                <w:bCs/>
                <w:lang w:val="en-US"/>
              </w:rPr>
              <w:t xml:space="preserve"> </w:t>
            </w:r>
            <w:hyperlink r:id="rId10" w:history="1">
              <w:r w:rsidR="007B3CD6" w:rsidRPr="007B3CD6">
                <w:rPr>
                  <w:rStyle w:val="ac"/>
                  <w:rFonts w:ascii="Times New Roman" w:hAnsi="Times New Roman" w:cs="Times New Roman"/>
                  <w:lang w:val="en-US"/>
                </w:rPr>
                <w:t>https://chitinsk.75.ru/</w:t>
              </w:r>
            </w:hyperlink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ИНН 7524000811 КПП 752401001</w:t>
            </w:r>
          </w:p>
          <w:p w:rsidR="006638DD" w:rsidRPr="007B3CD6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7B3CD6">
              <w:rPr>
                <w:rFonts w:eastAsiaTheme="minorEastAsia"/>
                <w:b/>
                <w:bCs/>
              </w:rPr>
              <w:t>ОГРН 1027500847934</w:t>
            </w:r>
          </w:p>
          <w:p w:rsidR="006638DD" w:rsidRPr="007B3CD6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B3CD6">
              <w:rPr>
                <w:rFonts w:eastAsiaTheme="minorEastAsia"/>
                <w:b/>
                <w:bCs/>
                <w:i/>
                <w:iCs/>
              </w:rPr>
              <w:t>от “</w:t>
            </w:r>
            <w:r w:rsidR="00E07D75">
              <w:rPr>
                <w:rFonts w:eastAsiaTheme="minorEastAsia"/>
                <w:b/>
                <w:bCs/>
                <w:i/>
                <w:iCs/>
              </w:rPr>
              <w:t>25</w:t>
            </w:r>
            <w:r w:rsidRPr="007B3CD6">
              <w:rPr>
                <w:rFonts w:eastAsiaTheme="minorEastAsia"/>
                <w:b/>
                <w:bCs/>
                <w:i/>
                <w:iCs/>
              </w:rPr>
              <w:t xml:space="preserve">” </w:t>
            </w:r>
            <w:r w:rsidR="00E07D75">
              <w:rPr>
                <w:rFonts w:eastAsiaTheme="minorEastAsia"/>
                <w:b/>
                <w:bCs/>
                <w:i/>
                <w:iCs/>
              </w:rPr>
              <w:t>декабря</w:t>
            </w:r>
            <w:r w:rsidRPr="007B3CD6">
              <w:rPr>
                <w:rFonts w:eastAsiaTheme="minorEastAsia"/>
                <w:b/>
                <w:bCs/>
                <w:i/>
                <w:iCs/>
              </w:rPr>
              <w:t xml:space="preserve"> 20</w:t>
            </w:r>
            <w:r w:rsidR="0067554A" w:rsidRPr="007B3CD6">
              <w:rPr>
                <w:rFonts w:eastAsiaTheme="minorEastAsia"/>
                <w:b/>
                <w:bCs/>
                <w:i/>
                <w:iCs/>
              </w:rPr>
              <w:t>2</w:t>
            </w:r>
            <w:r w:rsidR="00E07D75">
              <w:rPr>
                <w:rFonts w:eastAsiaTheme="minorEastAsia"/>
                <w:b/>
                <w:bCs/>
                <w:i/>
                <w:iCs/>
              </w:rPr>
              <w:t>3 г. № б/н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Default="006638DD" w:rsidP="00457547">
      <w:pPr>
        <w:jc w:val="both"/>
      </w:pP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0F177C" w:rsidRPr="00A36E4F" w:rsidRDefault="0071196E" w:rsidP="000470D7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на проект </w:t>
      </w:r>
      <w:r w:rsidR="00E07D75" w:rsidRPr="00E07D75">
        <w:rPr>
          <w:sz w:val="28"/>
          <w:szCs w:val="28"/>
        </w:rPr>
        <w:t>постановления администрации муниципального района «Читинский район» «Об утверждении регламента сопровождения инвестиционных проектов, реализуемых и (или) планируемых к реализации на территории муниципального района «Читинский район»</w:t>
      </w:r>
    </w:p>
    <w:p w:rsidR="0071196E" w:rsidRPr="000D38E9" w:rsidRDefault="0071196E" w:rsidP="000F177C">
      <w:pPr>
        <w:rPr>
          <w:i/>
          <w:sz w:val="28"/>
          <w:szCs w:val="28"/>
        </w:rPr>
      </w:pPr>
    </w:p>
    <w:p w:rsidR="000E0BC8" w:rsidRPr="000D38E9" w:rsidRDefault="000F177C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541FB5" w:rsidRPr="000D38E9">
        <w:rPr>
          <w:sz w:val="28"/>
          <w:szCs w:val="28"/>
        </w:rPr>
        <w:t xml:space="preserve">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 проект </w:t>
      </w:r>
      <w:r>
        <w:rPr>
          <w:sz w:val="28"/>
          <w:szCs w:val="28"/>
        </w:rPr>
        <w:t>постановления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>
        <w:rPr>
          <w:sz w:val="28"/>
          <w:szCs w:val="28"/>
        </w:rPr>
        <w:t>«</w:t>
      </w:r>
      <w:r w:rsidR="00E07D75" w:rsidRPr="00E07D75">
        <w:rPr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района «Читинский район</w:t>
      </w:r>
      <w:r>
        <w:rPr>
          <w:sz w:val="28"/>
          <w:szCs w:val="28"/>
        </w:rPr>
        <w:t xml:space="preserve">» </w:t>
      </w:r>
      <w:r w:rsidR="00541FB5" w:rsidRPr="000D38E9">
        <w:rPr>
          <w:sz w:val="28"/>
          <w:szCs w:val="28"/>
        </w:rPr>
        <w:t xml:space="preserve">(далее - проект </w:t>
      </w:r>
      <w:r w:rsidR="0051262C">
        <w:rPr>
          <w:sz w:val="28"/>
          <w:szCs w:val="28"/>
        </w:rPr>
        <w:t>распоряжения</w:t>
      </w:r>
      <w:r w:rsidR="00541FB5" w:rsidRPr="000D38E9">
        <w:rPr>
          <w:sz w:val="28"/>
          <w:szCs w:val="28"/>
        </w:rPr>
        <w:t>).</w:t>
      </w:r>
    </w:p>
    <w:p w:rsidR="000E0BC8" w:rsidRPr="000D38E9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Разработчиком проекта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является отдел </w:t>
      </w:r>
      <w:r w:rsidR="00E07D75">
        <w:rPr>
          <w:sz w:val="28"/>
          <w:szCs w:val="28"/>
        </w:rPr>
        <w:t>экономики и развития предпринимательства Управления экономического развития</w:t>
      </w:r>
      <w:r w:rsidR="002D34D0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>администрации муниципал</w:t>
      </w:r>
      <w:r w:rsidR="00E07D75">
        <w:rPr>
          <w:sz w:val="28"/>
          <w:szCs w:val="28"/>
        </w:rPr>
        <w:t>ьного района «Читинский район».</w:t>
      </w:r>
    </w:p>
    <w:p w:rsidR="000E0BC8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Проект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подготовлен в </w:t>
      </w:r>
      <w:r w:rsidR="0051262C" w:rsidRPr="00107149">
        <w:rPr>
          <w:sz w:val="28"/>
          <w:szCs w:val="28"/>
        </w:rPr>
        <w:t xml:space="preserve">соответствии с Уставом муниципального района «Читинский район», </w:t>
      </w:r>
      <w:r w:rsidR="002D34D0" w:rsidRPr="00D94A7F">
        <w:rPr>
          <w:sz w:val="28"/>
          <w:szCs w:val="28"/>
        </w:rPr>
        <w:t xml:space="preserve">в целях </w:t>
      </w:r>
      <w:r w:rsidR="00E07D75" w:rsidRPr="00E07D75">
        <w:rPr>
          <w:sz w:val="28"/>
          <w:szCs w:val="28"/>
        </w:rPr>
        <w:t>создания единого регламента сопровождения инвестиционных проектов, реализующихся на территории</w:t>
      </w:r>
      <w:r w:rsidR="00E07D75">
        <w:rPr>
          <w:sz w:val="28"/>
          <w:szCs w:val="28"/>
        </w:rPr>
        <w:t xml:space="preserve"> муниципального района «Читинский район». </w:t>
      </w:r>
    </w:p>
    <w:p w:rsidR="00434E7E" w:rsidRPr="000D38E9" w:rsidRDefault="00434E7E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D94A7F">
        <w:rPr>
          <w:sz w:val="28"/>
          <w:szCs w:val="28"/>
        </w:rPr>
        <w:lastRenderedPageBreak/>
        <w:t>Настоящ</w:t>
      </w:r>
      <w:r w:rsidR="00A06E52">
        <w:rPr>
          <w:sz w:val="28"/>
          <w:szCs w:val="28"/>
        </w:rPr>
        <w:t>е</w:t>
      </w:r>
      <w:r w:rsidRPr="00D94A7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 </w:t>
      </w:r>
      <w:r w:rsidR="00A06E52" w:rsidRPr="00A06E52">
        <w:rPr>
          <w:sz w:val="28"/>
          <w:szCs w:val="28"/>
        </w:rPr>
        <w:t>устанавливает сроки и последовательность действий администрации муниципального района «Читинский район»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муниципального района «Читинский район»</w:t>
      </w:r>
      <w:r w:rsidR="00A06E52">
        <w:rPr>
          <w:sz w:val="28"/>
          <w:szCs w:val="28"/>
        </w:rPr>
        <w:t>.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Принятие проекта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не повлечет дополнительных расходов бюджета муниципального района «Читинский район».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Проект </w:t>
      </w:r>
      <w:r w:rsidR="000F177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администрации не содержит:</w:t>
      </w:r>
    </w:p>
    <w:p w:rsidR="00B52D41" w:rsidRPr="000D38E9" w:rsidRDefault="00B52D41" w:rsidP="0051262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D38E9">
        <w:rPr>
          <w:bCs/>
          <w:sz w:val="28"/>
          <w:szCs w:val="28"/>
        </w:rPr>
        <w:t>-</w:t>
      </w:r>
      <w:r w:rsidR="00A06E52">
        <w:rPr>
          <w:bCs/>
          <w:sz w:val="28"/>
          <w:szCs w:val="28"/>
        </w:rPr>
        <w:t xml:space="preserve"> </w:t>
      </w:r>
      <w:r w:rsidRPr="000D38E9"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1A09E4" w:rsidRPr="000D38E9" w:rsidRDefault="000F177C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постановления</w:t>
      </w:r>
      <w:r w:rsidR="00541FB5" w:rsidRPr="000D38E9">
        <w:rPr>
          <w:sz w:val="28"/>
          <w:szCs w:val="28"/>
        </w:rPr>
        <w:t xml:space="preserve">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="00541FB5" w:rsidRPr="000D38E9">
        <w:rPr>
          <w:sz w:val="28"/>
          <w:szCs w:val="28"/>
        </w:rPr>
        <w:t xml:space="preserve">. </w:t>
      </w:r>
    </w:p>
    <w:p w:rsidR="001A09E4" w:rsidRDefault="00541FB5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В ходе согласования проекта </w:t>
      </w:r>
      <w:r w:rsidR="00FE1B4C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</w:t>
      </w:r>
      <w:r w:rsidR="00B52D41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 xml:space="preserve"> сделан вывод о </w:t>
      </w:r>
      <w:r w:rsidR="00A06E52">
        <w:rPr>
          <w:sz w:val="28"/>
          <w:szCs w:val="28"/>
        </w:rPr>
        <w:t>низкой</w:t>
      </w:r>
      <w:r w:rsidRPr="000D38E9">
        <w:rPr>
          <w:sz w:val="28"/>
          <w:szCs w:val="28"/>
        </w:rPr>
        <w:t xml:space="preserve"> степени регулирующего воздействия положений, содержащихся в проекте. </w:t>
      </w:r>
    </w:p>
    <w:p w:rsidR="004C0ECC" w:rsidRDefault="00FE1B4C" w:rsidP="004C0ECC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06E52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по </w:t>
      </w:r>
      <w:r w:rsidR="00A06E52">
        <w:rPr>
          <w:sz w:val="28"/>
          <w:szCs w:val="28"/>
        </w:rPr>
        <w:t>13 декабря 2023</w:t>
      </w:r>
      <w:r w:rsidR="004C0ECC">
        <w:rPr>
          <w:sz w:val="28"/>
          <w:szCs w:val="28"/>
        </w:rPr>
        <w:t xml:space="preserve"> года по проекту постановления были проведены публичные консультации. </w:t>
      </w:r>
    </w:p>
    <w:p w:rsidR="000D38E9" w:rsidRDefault="004C0ECC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консультаций в отношении проекта постановления </w:t>
      </w:r>
      <w:r w:rsidR="003E26A2">
        <w:rPr>
          <w:sz w:val="28"/>
          <w:szCs w:val="28"/>
        </w:rPr>
        <w:t xml:space="preserve">поступило замечание от </w:t>
      </w:r>
      <w:r w:rsidR="003E26A2" w:rsidRPr="003E26A2">
        <w:rPr>
          <w:sz w:val="28"/>
          <w:szCs w:val="28"/>
        </w:rPr>
        <w:t>Уполномоченн</w:t>
      </w:r>
      <w:r w:rsidR="000B2B61">
        <w:rPr>
          <w:sz w:val="28"/>
          <w:szCs w:val="28"/>
        </w:rPr>
        <w:t>ой</w:t>
      </w:r>
      <w:r w:rsidR="003E26A2" w:rsidRPr="003E26A2">
        <w:rPr>
          <w:sz w:val="28"/>
          <w:szCs w:val="28"/>
        </w:rPr>
        <w:t xml:space="preserve"> по защите прав предпринимателей в Забайкальском крае</w:t>
      </w:r>
      <w:r w:rsidR="003E26A2">
        <w:rPr>
          <w:sz w:val="28"/>
          <w:szCs w:val="28"/>
        </w:rPr>
        <w:t xml:space="preserve"> в части:</w:t>
      </w:r>
    </w:p>
    <w:p w:rsidR="00A06E52" w:rsidRPr="00A06E52" w:rsidRDefault="00A06E52" w:rsidP="00A06E52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с</w:t>
      </w:r>
      <w:r w:rsidRPr="00A06E52">
        <w:rPr>
          <w:iCs/>
          <w:sz w:val="28"/>
          <w:szCs w:val="28"/>
        </w:rPr>
        <w:t>окра</w:t>
      </w:r>
      <w:r>
        <w:rPr>
          <w:iCs/>
          <w:sz w:val="28"/>
          <w:szCs w:val="28"/>
        </w:rPr>
        <w:t>щения</w:t>
      </w:r>
      <w:r w:rsidRPr="00A06E52">
        <w:rPr>
          <w:iCs/>
          <w:sz w:val="28"/>
          <w:szCs w:val="28"/>
        </w:rPr>
        <w:t xml:space="preserve"> срок</w:t>
      </w:r>
      <w:r>
        <w:rPr>
          <w:iCs/>
          <w:sz w:val="28"/>
          <w:szCs w:val="28"/>
        </w:rPr>
        <w:t>ов</w:t>
      </w:r>
      <w:r w:rsidRPr="00A06E52">
        <w:rPr>
          <w:iCs/>
          <w:sz w:val="28"/>
          <w:szCs w:val="28"/>
        </w:rPr>
        <w:t xml:space="preserve"> рассмотрения обращения инвестора о сопровождении его проекта, предусмотренные п. 3.6. 3.7</w:t>
      </w:r>
      <w:r>
        <w:rPr>
          <w:iCs/>
          <w:sz w:val="28"/>
          <w:szCs w:val="28"/>
        </w:rPr>
        <w:t xml:space="preserve"> </w:t>
      </w:r>
      <w:r w:rsidR="00564EE2">
        <w:rPr>
          <w:iCs/>
          <w:sz w:val="28"/>
          <w:szCs w:val="28"/>
        </w:rPr>
        <w:t>Регламента;</w:t>
      </w:r>
    </w:p>
    <w:p w:rsidR="00A06E52" w:rsidRPr="00A06E52" w:rsidRDefault="00564EE2" w:rsidP="00A06E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ц</w:t>
      </w:r>
      <w:r w:rsidR="00A06E52" w:rsidRPr="00A06E52">
        <w:rPr>
          <w:sz w:val="28"/>
          <w:szCs w:val="28"/>
        </w:rPr>
        <w:t>елесообразно</w:t>
      </w:r>
      <w:r>
        <w:rPr>
          <w:sz w:val="28"/>
          <w:szCs w:val="28"/>
        </w:rPr>
        <w:t>сти</w:t>
      </w:r>
      <w:r w:rsidR="00A06E52" w:rsidRPr="00A06E5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установления:</w:t>
      </w:r>
    </w:p>
    <w:p w:rsidR="00A06E52" w:rsidRPr="00A06E52" w:rsidRDefault="00A06E52" w:rsidP="00A06E52">
      <w:pPr>
        <w:spacing w:line="276" w:lineRule="auto"/>
        <w:ind w:firstLine="567"/>
        <w:jc w:val="both"/>
        <w:rPr>
          <w:sz w:val="28"/>
          <w:szCs w:val="28"/>
        </w:rPr>
      </w:pPr>
      <w:r w:rsidRPr="00A06E52">
        <w:rPr>
          <w:sz w:val="28"/>
          <w:szCs w:val="28"/>
        </w:rPr>
        <w:lastRenderedPageBreak/>
        <w:t>-</w:t>
      </w:r>
      <w:r w:rsidR="00564EE2">
        <w:rPr>
          <w:sz w:val="28"/>
          <w:szCs w:val="28"/>
        </w:rPr>
        <w:t xml:space="preserve"> </w:t>
      </w:r>
      <w:r w:rsidRPr="00A06E52">
        <w:rPr>
          <w:sz w:val="28"/>
          <w:szCs w:val="28"/>
        </w:rPr>
        <w:t>срок</w:t>
      </w:r>
      <w:r w:rsidR="00564EE2">
        <w:rPr>
          <w:sz w:val="28"/>
          <w:szCs w:val="28"/>
        </w:rPr>
        <w:t>ов</w:t>
      </w:r>
      <w:r w:rsidRPr="00A06E52">
        <w:rPr>
          <w:sz w:val="28"/>
          <w:szCs w:val="28"/>
        </w:rPr>
        <w:t xml:space="preserve"> </w:t>
      </w:r>
      <w:r w:rsidR="00564EE2">
        <w:rPr>
          <w:sz w:val="28"/>
          <w:szCs w:val="28"/>
        </w:rPr>
        <w:t xml:space="preserve">проведения </w:t>
      </w:r>
      <w:r w:rsidRPr="00A06E52">
        <w:rPr>
          <w:sz w:val="28"/>
          <w:szCs w:val="28"/>
        </w:rPr>
        <w:t>заседани</w:t>
      </w:r>
      <w:r w:rsidR="00564EE2">
        <w:rPr>
          <w:sz w:val="28"/>
          <w:szCs w:val="28"/>
        </w:rPr>
        <w:t>я</w:t>
      </w:r>
      <w:r w:rsidRPr="00A06E52">
        <w:rPr>
          <w:sz w:val="28"/>
          <w:szCs w:val="28"/>
        </w:rPr>
        <w:t xml:space="preserve"> Совета по вопросам кредитно-финансовой и инвестиционной политики</w:t>
      </w:r>
      <w:r w:rsidR="00564EE2">
        <w:rPr>
          <w:sz w:val="28"/>
          <w:szCs w:val="28"/>
        </w:rPr>
        <w:t>;</w:t>
      </w:r>
    </w:p>
    <w:p w:rsidR="00A06E52" w:rsidRDefault="00A06E52" w:rsidP="00A06E52">
      <w:pPr>
        <w:spacing w:line="276" w:lineRule="auto"/>
        <w:ind w:firstLine="567"/>
        <w:jc w:val="both"/>
        <w:rPr>
          <w:sz w:val="28"/>
          <w:szCs w:val="28"/>
        </w:rPr>
      </w:pPr>
      <w:r w:rsidRPr="00A06E52">
        <w:rPr>
          <w:sz w:val="28"/>
          <w:szCs w:val="28"/>
        </w:rPr>
        <w:t>-</w:t>
      </w:r>
      <w:r w:rsidR="00564EE2">
        <w:rPr>
          <w:sz w:val="28"/>
          <w:szCs w:val="28"/>
        </w:rPr>
        <w:t xml:space="preserve"> </w:t>
      </w:r>
      <w:r w:rsidRPr="00A06E52">
        <w:rPr>
          <w:sz w:val="28"/>
          <w:szCs w:val="28"/>
        </w:rPr>
        <w:t>срок</w:t>
      </w:r>
      <w:r w:rsidR="00564EE2">
        <w:rPr>
          <w:sz w:val="28"/>
          <w:szCs w:val="28"/>
        </w:rPr>
        <w:t xml:space="preserve">ов разработки проекта </w:t>
      </w:r>
      <w:r w:rsidRPr="00A06E52">
        <w:rPr>
          <w:sz w:val="28"/>
          <w:szCs w:val="28"/>
        </w:rPr>
        <w:t>плана мероприятий по сопровождению Инвестиционного проекта с момента принятия решения о сопровождении инвестиционного проекта.</w:t>
      </w:r>
    </w:p>
    <w:p w:rsidR="00A06E52" w:rsidRDefault="00C72A73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C72A73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>и</w:t>
      </w:r>
      <w:r w:rsidRPr="00C72A73">
        <w:rPr>
          <w:iCs/>
          <w:sz w:val="28"/>
          <w:szCs w:val="28"/>
        </w:rPr>
        <w:t xml:space="preserve"> рассмотрения обращения инвестора о сопровождении его проекта, предусмотренные п. 3.6. 3.7 Регламента</w:t>
      </w:r>
      <w:r>
        <w:rPr>
          <w:iCs/>
          <w:sz w:val="28"/>
          <w:szCs w:val="28"/>
        </w:rPr>
        <w:t xml:space="preserve"> определены Положением комиссии по проведению отбора проектов, претендующих на получение муниципальной поддержки муниципального района «Читинский район» (утвержден распоряжением администрации муниципального района «Читинский район»</w:t>
      </w:r>
      <w:r w:rsidR="0016040C">
        <w:rPr>
          <w:iCs/>
          <w:sz w:val="28"/>
          <w:szCs w:val="28"/>
        </w:rPr>
        <w:t xml:space="preserve"> от 11.02.2021 г. №23-НПА «О создании Инвестиционной комиссии по проведению отбора проектов, претендующих на получение муниципальной поддержки муниципального района «Читинский район», по данному МНПА проведена процедура оценки регулирующего воздействия с 09.12.2020 г. по 13.01.2021 г., </w:t>
      </w:r>
      <w:r w:rsidR="0016040C" w:rsidRPr="0016040C">
        <w:rPr>
          <w:iCs/>
          <w:sz w:val="28"/>
          <w:szCs w:val="28"/>
        </w:rPr>
        <w:t>замечаний не имеется</w:t>
      </w:r>
      <w:r w:rsidR="0016040C">
        <w:rPr>
          <w:iCs/>
          <w:sz w:val="28"/>
          <w:szCs w:val="28"/>
        </w:rPr>
        <w:t xml:space="preserve">, </w:t>
      </w:r>
      <w:r w:rsidR="0016040C" w:rsidRPr="0016040C">
        <w:rPr>
          <w:iCs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</w:t>
      </w:r>
      <w:r w:rsidR="0016040C">
        <w:rPr>
          <w:iCs/>
          <w:sz w:val="28"/>
          <w:szCs w:val="28"/>
        </w:rPr>
        <w:t xml:space="preserve">). Таким образом, </w:t>
      </w:r>
      <w:r w:rsidR="0016040C" w:rsidRPr="0016040C">
        <w:rPr>
          <w:iCs/>
          <w:sz w:val="28"/>
          <w:szCs w:val="28"/>
        </w:rPr>
        <w:t>срок</w:t>
      </w:r>
      <w:r w:rsidR="0016040C">
        <w:rPr>
          <w:iCs/>
          <w:sz w:val="28"/>
          <w:szCs w:val="28"/>
        </w:rPr>
        <w:t>и</w:t>
      </w:r>
      <w:r w:rsidR="0016040C" w:rsidRPr="0016040C">
        <w:rPr>
          <w:iCs/>
          <w:sz w:val="28"/>
          <w:szCs w:val="28"/>
        </w:rPr>
        <w:t xml:space="preserve"> рассмотрения обращения инвестора о сопровождении его проекта, предусмотренные п. 3.6. 3.7 Регламента</w:t>
      </w:r>
      <w:r w:rsidR="0016040C">
        <w:rPr>
          <w:iCs/>
          <w:sz w:val="28"/>
          <w:szCs w:val="28"/>
        </w:rPr>
        <w:t xml:space="preserve"> остаются без изменений.</w:t>
      </w:r>
    </w:p>
    <w:p w:rsidR="00A06E52" w:rsidRDefault="007536C0" w:rsidP="005126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муниципального района «Читинский район» от 22.11.2023 г. №576-р утвержден «</w:t>
      </w:r>
      <w:r w:rsidRPr="007536C0">
        <w:rPr>
          <w:sz w:val="28"/>
          <w:szCs w:val="28"/>
        </w:rPr>
        <w:t>Порядок подготовки к заседанию Совета по вопросам кредитно-финансовой и инвестиционной политики муниципального района «Читинский район» по рассмотрению вопросов признания безнадежной к взысканию задолженности по платежам в бюджет муниципального района «Читинский район</w:t>
      </w:r>
      <w:r>
        <w:rPr>
          <w:sz w:val="28"/>
          <w:szCs w:val="28"/>
        </w:rPr>
        <w:t xml:space="preserve">», в соответствии с пунктом 3 распоряжения, </w:t>
      </w:r>
      <w:r w:rsidRPr="007536C0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7536C0">
        <w:rPr>
          <w:sz w:val="28"/>
          <w:szCs w:val="28"/>
        </w:rPr>
        <w:t xml:space="preserve"> Совета по вопросам кредитно-финансовой и инвестиционной политики муниципального района «Читинский район»</w:t>
      </w:r>
      <w:r>
        <w:rPr>
          <w:sz w:val="28"/>
          <w:szCs w:val="28"/>
        </w:rPr>
        <w:t xml:space="preserve"> проводятся еженедельно, каждый четверг.</w:t>
      </w:r>
    </w:p>
    <w:p w:rsidR="003E26A2" w:rsidRPr="003E26A2" w:rsidRDefault="007536C0" w:rsidP="003E26A2">
      <w:pPr>
        <w:pStyle w:val="ae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вышеуказанным, </w:t>
      </w:r>
      <w:r w:rsidRPr="007536C0">
        <w:rPr>
          <w:sz w:val="28"/>
          <w:szCs w:val="28"/>
        </w:rPr>
        <w:t>замечание от Уполномоченной по защите прав предпринимателей в Забайкальском крае</w:t>
      </w:r>
      <w:r>
        <w:rPr>
          <w:sz w:val="28"/>
          <w:szCs w:val="28"/>
        </w:rPr>
        <w:t xml:space="preserve"> остается без изменений.</w:t>
      </w:r>
    </w:p>
    <w:p w:rsidR="00541FB5" w:rsidRPr="000D38E9" w:rsidRDefault="007536C0" w:rsidP="0051262C">
      <w:pPr>
        <w:spacing w:line="276" w:lineRule="auto"/>
        <w:ind w:firstLine="567"/>
        <w:jc w:val="both"/>
        <w:rPr>
          <w:sz w:val="28"/>
          <w:szCs w:val="28"/>
        </w:rPr>
      </w:pPr>
      <w:r w:rsidRPr="007536C0">
        <w:rPr>
          <w:sz w:val="28"/>
          <w:szCs w:val="28"/>
        </w:rPr>
        <w:t xml:space="preserve">Разработчику проекта </w:t>
      </w:r>
      <w:r>
        <w:rPr>
          <w:sz w:val="28"/>
          <w:szCs w:val="28"/>
        </w:rPr>
        <w:t>постановления</w:t>
      </w:r>
      <w:r w:rsidRPr="007536C0">
        <w:rPr>
          <w:sz w:val="28"/>
          <w:szCs w:val="28"/>
        </w:rPr>
        <w:t xml:space="preserve"> необходимо провести согласование с отделом правовой и кадровой работы Управления делами администрации муниципального района «Читинский район»</w:t>
      </w:r>
      <w:r>
        <w:rPr>
          <w:sz w:val="28"/>
          <w:szCs w:val="28"/>
        </w:rPr>
        <w:t xml:space="preserve"> и утвердить.</w:t>
      </w:r>
    </w:p>
    <w:p w:rsidR="0071196E" w:rsidRDefault="0071196E" w:rsidP="00457547">
      <w:pPr>
        <w:jc w:val="both"/>
        <w:rPr>
          <w:sz w:val="28"/>
          <w:szCs w:val="28"/>
        </w:rPr>
      </w:pPr>
    </w:p>
    <w:p w:rsidR="00FE1B4C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280882" w:rsidRDefault="00FE1B4C" w:rsidP="00457547">
      <w:pPr>
        <w:jc w:val="both"/>
        <w:rPr>
          <w:sz w:val="28"/>
        </w:rPr>
      </w:pPr>
      <w:r>
        <w:rPr>
          <w:sz w:val="28"/>
        </w:rPr>
        <w:t xml:space="preserve">экономического развития </w:t>
      </w:r>
      <w:r w:rsidR="00280882">
        <w:rPr>
          <w:sz w:val="28"/>
        </w:rPr>
        <w:t>администрации</w:t>
      </w:r>
    </w:p>
    <w:p w:rsidR="00C90CF6" w:rsidRPr="007536C0" w:rsidRDefault="00494D62" w:rsidP="00FD6932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  <w:r w:rsidR="00FE1B4C">
        <w:rPr>
          <w:sz w:val="28"/>
        </w:rPr>
        <w:t xml:space="preserve"> «Читинский </w:t>
      </w:r>
      <w:proofErr w:type="gramStart"/>
      <w:r w:rsidR="00FE1B4C">
        <w:rPr>
          <w:sz w:val="28"/>
        </w:rPr>
        <w:t xml:space="preserve">район» </w:t>
      </w:r>
      <w:r w:rsidR="00280882">
        <w:rPr>
          <w:sz w:val="28"/>
        </w:rPr>
        <w:t xml:space="preserve">  </w:t>
      </w:r>
      <w:proofErr w:type="gramEnd"/>
      <w:r w:rsidR="00280882">
        <w:rPr>
          <w:sz w:val="28"/>
        </w:rPr>
        <w:t xml:space="preserve">                         </w:t>
      </w:r>
      <w:r w:rsidR="00FE1B4C">
        <w:rPr>
          <w:sz w:val="28"/>
        </w:rPr>
        <w:t xml:space="preserve">    </w:t>
      </w:r>
      <w:r w:rsidR="00280882">
        <w:rPr>
          <w:sz w:val="28"/>
        </w:rPr>
        <w:t>А.А.</w:t>
      </w:r>
      <w:r w:rsidR="007536C0">
        <w:rPr>
          <w:sz w:val="28"/>
        </w:rPr>
        <w:t xml:space="preserve"> </w:t>
      </w:r>
      <w:bookmarkStart w:id="0" w:name="_GoBack"/>
      <w:bookmarkEnd w:id="0"/>
      <w:proofErr w:type="spellStart"/>
      <w:r w:rsidR="00280882">
        <w:rPr>
          <w:sz w:val="28"/>
        </w:rPr>
        <w:t>Маркевич</w:t>
      </w:r>
      <w:proofErr w:type="spellEnd"/>
    </w:p>
    <w:sectPr w:rsidR="00C90CF6" w:rsidRPr="007536C0" w:rsidSect="00753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249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03" w:rsidRDefault="00752203" w:rsidP="006638DD">
      <w:r>
        <w:separator/>
      </w:r>
    </w:p>
  </w:endnote>
  <w:endnote w:type="continuationSeparator" w:id="0">
    <w:p w:rsidR="00752203" w:rsidRDefault="00752203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03" w:rsidRDefault="00752203" w:rsidP="006638DD">
      <w:r>
        <w:separator/>
      </w:r>
    </w:p>
  </w:footnote>
  <w:footnote w:type="continuationSeparator" w:id="0">
    <w:p w:rsidR="00752203" w:rsidRDefault="00752203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7F3443E2"/>
    <w:multiLevelType w:val="hybridMultilevel"/>
    <w:tmpl w:val="6686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34673"/>
    <w:rsid w:val="00046D85"/>
    <w:rsid w:val="000470D7"/>
    <w:rsid w:val="000523EF"/>
    <w:rsid w:val="000612E0"/>
    <w:rsid w:val="00063ADA"/>
    <w:rsid w:val="00073BB0"/>
    <w:rsid w:val="0007638C"/>
    <w:rsid w:val="00086EA3"/>
    <w:rsid w:val="000A05AA"/>
    <w:rsid w:val="000A59B6"/>
    <w:rsid w:val="000B2B61"/>
    <w:rsid w:val="000D38E9"/>
    <w:rsid w:val="000E0BC8"/>
    <w:rsid w:val="000F177C"/>
    <w:rsid w:val="000F543B"/>
    <w:rsid w:val="0013073E"/>
    <w:rsid w:val="00141402"/>
    <w:rsid w:val="00143D6E"/>
    <w:rsid w:val="00145EAF"/>
    <w:rsid w:val="0016040C"/>
    <w:rsid w:val="0016424F"/>
    <w:rsid w:val="001946AF"/>
    <w:rsid w:val="001A09E4"/>
    <w:rsid w:val="001B2A3C"/>
    <w:rsid w:val="001C169B"/>
    <w:rsid w:val="001F31D4"/>
    <w:rsid w:val="00214FCF"/>
    <w:rsid w:val="00226763"/>
    <w:rsid w:val="0024227C"/>
    <w:rsid w:val="002467CB"/>
    <w:rsid w:val="0025503E"/>
    <w:rsid w:val="00257318"/>
    <w:rsid w:val="002722FB"/>
    <w:rsid w:val="00280882"/>
    <w:rsid w:val="002D34D0"/>
    <w:rsid w:val="002E1E24"/>
    <w:rsid w:val="0031711C"/>
    <w:rsid w:val="00340E9B"/>
    <w:rsid w:val="00343F90"/>
    <w:rsid w:val="00370D4B"/>
    <w:rsid w:val="003746A2"/>
    <w:rsid w:val="003B0103"/>
    <w:rsid w:val="003E26A2"/>
    <w:rsid w:val="003E3C5B"/>
    <w:rsid w:val="00401595"/>
    <w:rsid w:val="00405BD7"/>
    <w:rsid w:val="00427A4F"/>
    <w:rsid w:val="00434E7E"/>
    <w:rsid w:val="00441DFB"/>
    <w:rsid w:val="0044212F"/>
    <w:rsid w:val="00457547"/>
    <w:rsid w:val="00466C2D"/>
    <w:rsid w:val="00477AE4"/>
    <w:rsid w:val="004938E0"/>
    <w:rsid w:val="00493B8B"/>
    <w:rsid w:val="0049403A"/>
    <w:rsid w:val="00494D62"/>
    <w:rsid w:val="004A2A9B"/>
    <w:rsid w:val="004A37DD"/>
    <w:rsid w:val="004B0987"/>
    <w:rsid w:val="004B66EB"/>
    <w:rsid w:val="004C0ECC"/>
    <w:rsid w:val="004E1B15"/>
    <w:rsid w:val="005116CA"/>
    <w:rsid w:val="0051262C"/>
    <w:rsid w:val="00514302"/>
    <w:rsid w:val="00520187"/>
    <w:rsid w:val="00520CB0"/>
    <w:rsid w:val="0053526D"/>
    <w:rsid w:val="005364A4"/>
    <w:rsid w:val="00541FB5"/>
    <w:rsid w:val="0055200B"/>
    <w:rsid w:val="0055245D"/>
    <w:rsid w:val="00564EE2"/>
    <w:rsid w:val="005719B6"/>
    <w:rsid w:val="005848CA"/>
    <w:rsid w:val="005A7474"/>
    <w:rsid w:val="005B03D6"/>
    <w:rsid w:val="005C0765"/>
    <w:rsid w:val="005C6FE8"/>
    <w:rsid w:val="005D2106"/>
    <w:rsid w:val="005F1EA5"/>
    <w:rsid w:val="00600F2E"/>
    <w:rsid w:val="006227AA"/>
    <w:rsid w:val="00631DAA"/>
    <w:rsid w:val="006638DD"/>
    <w:rsid w:val="0067554A"/>
    <w:rsid w:val="00682082"/>
    <w:rsid w:val="00690631"/>
    <w:rsid w:val="006A1807"/>
    <w:rsid w:val="006B7366"/>
    <w:rsid w:val="006C52EE"/>
    <w:rsid w:val="006E5466"/>
    <w:rsid w:val="006F1FB4"/>
    <w:rsid w:val="007101AC"/>
    <w:rsid w:val="0071196E"/>
    <w:rsid w:val="00715ABA"/>
    <w:rsid w:val="0072742A"/>
    <w:rsid w:val="00740C73"/>
    <w:rsid w:val="00742E13"/>
    <w:rsid w:val="00742F7E"/>
    <w:rsid w:val="00752203"/>
    <w:rsid w:val="007536C0"/>
    <w:rsid w:val="007A5DFF"/>
    <w:rsid w:val="007A64D7"/>
    <w:rsid w:val="007A7E55"/>
    <w:rsid w:val="007B0496"/>
    <w:rsid w:val="007B3CD6"/>
    <w:rsid w:val="0081211D"/>
    <w:rsid w:val="00830484"/>
    <w:rsid w:val="00834D90"/>
    <w:rsid w:val="008455FE"/>
    <w:rsid w:val="008A6F8F"/>
    <w:rsid w:val="008B1BE3"/>
    <w:rsid w:val="008F3D4C"/>
    <w:rsid w:val="0090081E"/>
    <w:rsid w:val="00911B9E"/>
    <w:rsid w:val="00920BAA"/>
    <w:rsid w:val="00930C51"/>
    <w:rsid w:val="00953A74"/>
    <w:rsid w:val="00967010"/>
    <w:rsid w:val="0097430C"/>
    <w:rsid w:val="009B3E6E"/>
    <w:rsid w:val="009E604F"/>
    <w:rsid w:val="009F1C6D"/>
    <w:rsid w:val="00A06E52"/>
    <w:rsid w:val="00A36CA3"/>
    <w:rsid w:val="00A50C7E"/>
    <w:rsid w:val="00A656C3"/>
    <w:rsid w:val="00AC6EDB"/>
    <w:rsid w:val="00AD5D36"/>
    <w:rsid w:val="00AE742C"/>
    <w:rsid w:val="00AF6656"/>
    <w:rsid w:val="00B163ED"/>
    <w:rsid w:val="00B52D41"/>
    <w:rsid w:val="00B55346"/>
    <w:rsid w:val="00B63DD5"/>
    <w:rsid w:val="00B67D51"/>
    <w:rsid w:val="00B716A6"/>
    <w:rsid w:val="00B870D2"/>
    <w:rsid w:val="00B967CC"/>
    <w:rsid w:val="00BD0FD6"/>
    <w:rsid w:val="00BE27C3"/>
    <w:rsid w:val="00BF1D75"/>
    <w:rsid w:val="00C245F5"/>
    <w:rsid w:val="00C246C8"/>
    <w:rsid w:val="00C36DF2"/>
    <w:rsid w:val="00C40B5E"/>
    <w:rsid w:val="00C502FD"/>
    <w:rsid w:val="00C50C82"/>
    <w:rsid w:val="00C72A73"/>
    <w:rsid w:val="00C90CF6"/>
    <w:rsid w:val="00C919DD"/>
    <w:rsid w:val="00D10707"/>
    <w:rsid w:val="00D22D5C"/>
    <w:rsid w:val="00D342D5"/>
    <w:rsid w:val="00D66766"/>
    <w:rsid w:val="00D73572"/>
    <w:rsid w:val="00D81202"/>
    <w:rsid w:val="00DC55AF"/>
    <w:rsid w:val="00DF4D2F"/>
    <w:rsid w:val="00E00924"/>
    <w:rsid w:val="00E032E5"/>
    <w:rsid w:val="00E07D75"/>
    <w:rsid w:val="00E34D9A"/>
    <w:rsid w:val="00E37627"/>
    <w:rsid w:val="00E52D29"/>
    <w:rsid w:val="00E53641"/>
    <w:rsid w:val="00E55A3F"/>
    <w:rsid w:val="00E641D0"/>
    <w:rsid w:val="00E67DBC"/>
    <w:rsid w:val="00E70E17"/>
    <w:rsid w:val="00E72190"/>
    <w:rsid w:val="00E743DD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1B4C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69E5A"/>
  <w15:docId w15:val="{78EAC5E2-5292-474F-BDE7-459F65B6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7B31-07D2-4293-B3E3-02ED927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3</cp:revision>
  <cp:lastPrinted>2022-09-13T06:22:00Z</cp:lastPrinted>
  <dcterms:created xsi:type="dcterms:W3CDTF">2023-12-25T07:35:00Z</dcterms:created>
  <dcterms:modified xsi:type="dcterms:W3CDTF">2023-12-25T08:21:00Z</dcterms:modified>
</cp:coreProperties>
</file>