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D2" w:rsidRDefault="00554CD2">
      <w:pPr>
        <w:pStyle w:val="ConsPlusTitle"/>
        <w:ind w:firstLine="540"/>
        <w:jc w:val="both"/>
        <w:outlineLvl w:val="0"/>
      </w:pPr>
      <w:r>
        <w:t>Статья 46. 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554CD2" w:rsidRDefault="00554CD2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15.04.2019 N 62-ФЗ)</w:t>
      </w:r>
    </w:p>
    <w:p w:rsidR="00554CD2" w:rsidRDefault="00554CD2">
      <w:pPr>
        <w:pStyle w:val="ConsPlusNormal"/>
        <w:ind w:firstLine="540"/>
        <w:jc w:val="both"/>
      </w:pPr>
    </w:p>
    <w:p w:rsidR="00554CD2" w:rsidRDefault="00554CD2">
      <w:pPr>
        <w:pStyle w:val="ConsPlusNormal"/>
        <w:ind w:firstLine="540"/>
        <w:jc w:val="both"/>
      </w:pPr>
      <w:r>
        <w:t xml:space="preserve">1. Суммы штрафов, установленных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подлежат зачислению в федеральный бюджет по нормативу 100 процентов в случае, если постановления о наложении административных штрафов вынесены: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1) судьями федеральных судов (если иное не установлено </w:t>
      </w:r>
      <w:hyperlink w:anchor="P11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5" w:history="1">
        <w:r>
          <w:rPr>
            <w:color w:val="0000FF"/>
          </w:rPr>
          <w:t>5</w:t>
        </w:r>
      </w:hyperlink>
      <w:r>
        <w:t xml:space="preserve"> и </w:t>
      </w:r>
      <w:hyperlink w:anchor="P16" w:history="1">
        <w:r>
          <w:rPr>
            <w:color w:val="0000FF"/>
          </w:rPr>
          <w:t>6</w:t>
        </w:r>
      </w:hyperlink>
      <w:r>
        <w:t xml:space="preserve"> настоящей статьи);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2) должностными лицами федеральных органов исполнительной власти, их структурных подразделений, территориальных органов и структурных подразделений территориальных органов, иных федеральных государственных органов (если иное не установлено </w:t>
      </w:r>
      <w:hyperlink w:anchor="P11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5" w:history="1">
        <w:r>
          <w:rPr>
            <w:color w:val="0000FF"/>
          </w:rPr>
          <w:t>5</w:t>
        </w:r>
      </w:hyperlink>
      <w:r>
        <w:t xml:space="preserve"> и </w:t>
      </w:r>
      <w:hyperlink w:anchor="P16" w:history="1">
        <w:r>
          <w:rPr>
            <w:color w:val="0000FF"/>
          </w:rPr>
          <w:t>6</w:t>
        </w:r>
      </w:hyperlink>
      <w:r>
        <w:t xml:space="preserve"> настоящей статьи);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3) должностными лицами Центрального банка Российской Федерации;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4) должностными лицами государственных учреждений, подведомственных федеральным органам исполнительной власти.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2. Суммы штрафов, установленных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подлежат зачислению в бюджеты субъектов Российской Федерации по нормативу 100 процентов в случае, если постановления о наложении административных штрафов вынесены: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1) должностными лицами органов исполнительной власти субъектов Российской Федерации (если иное не установлено </w:t>
      </w:r>
      <w:hyperlink w:anchor="P15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6" w:history="1">
        <w:r>
          <w:rPr>
            <w:color w:val="0000FF"/>
          </w:rPr>
          <w:t>6</w:t>
        </w:r>
      </w:hyperlink>
      <w:r>
        <w:t xml:space="preserve"> настоящей статьи);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2) должностными лицами государственных учреждений, подведомственных органам исполнительной власти субъектов Российской Федерации.</w:t>
      </w:r>
    </w:p>
    <w:p w:rsidR="00554CD2" w:rsidRDefault="00554CD2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3. Суммы штрафов, установленных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нарушение Правил дорожного движения, правил эксплуатации транспортного средства, подлежат зачислению в бюджет субъекта Российской Федерации по месту нахождения должностного лица федерального органа исполнительной власти (органа исполнительной власти субъекта Российской Федерации), принявшего решение о наложении административного штрафа или направившего дело об административном правонарушении на рассмотрение судье,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4. Суммы штрафов, установленных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подлежат зачислению (если иное не установлено </w:t>
      </w:r>
      <w:hyperlink w:anchor="P1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5" w:history="1">
        <w:r>
          <w:rPr>
            <w:color w:val="0000FF"/>
          </w:rPr>
          <w:t>5</w:t>
        </w:r>
      </w:hyperlink>
      <w:r>
        <w:t xml:space="preserve"> настоящей статьи):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1) в бюджет субъекта Российской Федерации по нормативу 50 процентов;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2) в бюджет муниципального района, городского округа, городского округа с внутригородским делением (по месту нахождения органа или должностного лица, принявших решение о наложении административного штрафа) по нормативу 50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5. Суммы штрафов, установленных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бюджеты муниципальных образований, за счет средств бюджетов которых осуществляется финансовое обеспечение деятельности указанных органов,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bookmarkStart w:id="2" w:name="P16"/>
      <w:bookmarkEnd w:id="2"/>
      <w:r>
        <w:lastRenderedPageBreak/>
        <w:t xml:space="preserve">6. Суммы штрафов, установленных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>
        <w:t>неперечислением</w:t>
      </w:r>
      <w:proofErr w:type="spellEnd"/>
      <w: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подлежат зачислению в бюджеты бюджетной системы Российской Федерации, из которых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7. Суммы административных штрафов, установленных законами субъектов Российской Федерации: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1) за нарушение законов и иных нормативных правовых актов субъектов Российской Федерации, подлежат зачислению в бюджеты субъектов Российской Федерации по нормативу 100 процентов;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2) за нарушение муниципальных правовых актов, подлежат зачислению в бюджеты муниципальных образований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8. В бюджеты субъектов Российской Федерации - городов федерального значения Москвы, Санкт-Петербурга и Севастополя подлежат зачислению суммы административных штрафов, подлежащие в соответствии с настоящей статьей зачислению в местные бюджеты и бюджеты субъектов Российской Федерации.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9. Суммы штрафов (судебных штрафов), установленных Уголовным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подлежат зачислению в федеральный бюджет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10. Суммы судебных штрафов (денежных взысканий), налагаемых судами в случаях, предусмотренных Арбитражным процессуальным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процессуальным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Федерации, Уголовно-процессуальным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подлежат зачислению в федеральный бюджет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11. Суммы штрафов, пеней, установленных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подлежат зачислению в бюджеты бюджетной системы Российской Федерации в следующем порядке: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1) суммы штрафов, пеней, исчисляемых исходя из сумм (ставок) налогов (сборов, страховых взносов),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(сборам, страховым взносам);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2) суммы иных штрафов, установленных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- в федеральный бюджет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12. Суммы штрафов, пеней,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заболеваний, взносов, уплачиваемых организациями в соответствии с федеральными законами на выплату доплаты к пенсии, подлежат зачислению в бюджеты государственных внебюджетных фондов Российской Федерации, в которые зачисляются указанные взносы,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13. Пени и проценты, установленные правом Евразийского экономического союза и (или)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таможенном регулировании, начисленные на неуплаченные ввозные таможенные пошлины, налоги, антидемпинговые, специальные и компенсационные пошлины, подлежат зачислению в федеральный бюджет по нормативу 100 процентов, если иное не установлено правом Евразийского экономического союза.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14. Пени и проценты, установленные правом Евразийского экономического союза и (или) законодательством Российской Федерации о таможенном регулировании, начисленные на неуплаченные вывозные таможенные пошлины, таможенные сборы, подлежат зачислению в федеральный бюджет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15. Пени, установленные правом Евразийского экономического союза и (или) законодательством Российской Федерации о таможенном регулировании, начисленные на неуплаченные таможенные пошлины, налоги, взимаемые по единым ставкам, таможенные пошлины, налоги, взимаемые в виде совокупного таможенного платежа, подлежат зачислению в федеральный бюджет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16. 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подлежат зачислению в бюджет бюджетной системы Российской Федерации, получателем средств которого являются указанные орган, учреждение,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bookmarkStart w:id="3" w:name="P31"/>
      <w:bookmarkEnd w:id="3"/>
      <w:r>
        <w:t>17. Денежные средства, обращенные в собственность государства на основании обвинительных приговоров судов, подлежат зачислению в федеральный бюджет по нормативу 100 процентов, за исключением случаев, установленных настоящим Кодексом.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Денежные средства, изымаемые в собственность Российской Федерации, субъектов Российской Федерации, городских, сельских поселений, муниципальных районов, городских округов, внутригородских территорий (внутригородских муниципальных образований) городов федерального значения Москвы, Санкт-Петербурга и Севастополя, городских округов с внутригородским делением, внутригородских районов в соответствии с решениями судов в случаях, не предусмотренных </w:t>
      </w:r>
      <w:hyperlink w:anchor="P3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33" w:history="1">
        <w:r>
          <w:rPr>
            <w:color w:val="0000FF"/>
          </w:rPr>
          <w:t>третьим</w:t>
        </w:r>
      </w:hyperlink>
      <w:r>
        <w:t xml:space="preserve"> настоящего пункта, подлежат зачислению соответственно в федеральный бюджет, бюджеты субъектов Российской Федерации, городских, сельских поселений, муниципальных районов, городских округов, внутригородских территорий (внутригородских муниципальных образований) городов федерального значения Москвы, Санкт-Петербурга и Севастополя, городских округов с внутригородским делением, внутригородских районов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bookmarkStart w:id="4" w:name="P33"/>
      <w:bookmarkEnd w:id="4"/>
      <w:r>
        <w:t xml:space="preserve">Денежные средства, полученные от обращения по решению суда в доход Российской Федерации имущества, в отношении которого не представлены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доказательства его приобретения на законные доходы,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правонарушений, подлежат зачислению в бюджет Пенсионного фонда Российской Федерации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 xml:space="preserve">18. Денежные средства, полученные от реализации конфискованного имущества, подлежат зачислению в федеральный бюджет по нормативу 100 процентов, если иное не установлено </w:t>
      </w:r>
      <w:hyperlink w:anchor="P31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35" w:history="1">
        <w:r>
          <w:rPr>
            <w:color w:val="0000FF"/>
          </w:rPr>
          <w:t>19</w:t>
        </w:r>
      </w:hyperlink>
      <w:r>
        <w:t xml:space="preserve"> и </w:t>
      </w:r>
      <w:hyperlink w:anchor="P36" w:history="1">
        <w:r>
          <w:rPr>
            <w:color w:val="0000FF"/>
          </w:rPr>
          <w:t>20</w:t>
        </w:r>
      </w:hyperlink>
      <w:r>
        <w:t xml:space="preserve"> настоящей статьи.</w:t>
      </w:r>
    </w:p>
    <w:p w:rsidR="00554CD2" w:rsidRDefault="00554CD2">
      <w:pPr>
        <w:pStyle w:val="ConsPlusNormal"/>
        <w:spacing w:before="220"/>
        <w:ind w:firstLine="540"/>
        <w:jc w:val="both"/>
      </w:pPr>
      <w:bookmarkStart w:id="5" w:name="P35"/>
      <w:bookmarkEnd w:id="5"/>
      <w:r>
        <w:t xml:space="preserve">19. Денежные средства, полученные от реализации конфискованных вещей, явившихся орудиями совершения или предметами административных правонарушений, обращенных в собственность субъектов Российской Федерации, подлежат зачислению в бюджеты субъектов </w:t>
      </w:r>
      <w:r>
        <w:lastRenderedPageBreak/>
        <w:t>Российской Федерации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bookmarkStart w:id="6" w:name="P36"/>
      <w:bookmarkEnd w:id="6"/>
      <w:r>
        <w:t>20. 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подлежат зачислению по нормативу 100 процентов в бюджеты муниципальных районов, городских округов, городских округов с внутригородским делением, субъектов Российской Федерации - городов федерального значения Москвы, Санкт-Петербурга и Севастополя по месту причинения вреда окружающей среде.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21. Платежи по искам о возмещении ущерба, а также платежи, уплачиваемые при добровольном возмещении ущерба, причиненного государственному или муниципальному имуществу (за исключением имущества, закрепленного за бюджетными (автономными) учреждениями, унитарными предприятиями), подлежат зачислению в бюджеты публично-правовых образований, в собственности которых находится указанное имущество,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22.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среде, подлежат зачислению в бюджеты муниципальных районов, городских округов, городских округов с внутригородским делением, субъектов Российской Федерации - городов федерального значения Москвы, Санкт-Петербурга и Севастополя по месту причинения вреда окружающей среде по нормативу 100 процентов, если иное не установлено настоящим пунктом.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федерального значения, подлежат зачислению в федеральный бюджет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значения, подлежат зачислению в бюджеты субъектов Российской Федерации по нормативу 100 процентов.</w:t>
      </w:r>
    </w:p>
    <w:p w:rsidR="00554CD2" w:rsidRDefault="00554CD2">
      <w:pPr>
        <w:pStyle w:val="ConsPlusNormal"/>
        <w:spacing w:before="220"/>
        <w:ind w:firstLine="540"/>
        <w:jc w:val="both"/>
      </w:pPr>
      <w: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зачислению в бюджеты муниципальных образований, за счет которых осуществляются расходы, связанные с охраной и использованием таких территорий, по нормативу 100 процентов.</w:t>
      </w:r>
    </w:p>
    <w:p w:rsidR="00554CD2" w:rsidRDefault="00554CD2">
      <w:pPr>
        <w:pStyle w:val="ConsPlusNormal"/>
      </w:pPr>
      <w:hyperlink r:id="rId20" w:history="1">
        <w:r>
          <w:rPr>
            <w:i/>
            <w:color w:val="0000FF"/>
          </w:rPr>
          <w:br/>
          <w:t>ст. 46, "Бюджетный кодекс Российской Федерации" от 31.07.1998 N 145-ФЗ (ред. от 25.05.2020)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C4260" w:rsidRDefault="004C4260">
      <w:bookmarkStart w:id="7" w:name="_GoBack"/>
      <w:bookmarkEnd w:id="7"/>
    </w:p>
    <w:sectPr w:rsidR="004C4260" w:rsidSect="0076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2"/>
    <w:rsid w:val="004C4260"/>
    <w:rsid w:val="005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04AD-6E87-42A0-91C7-20579617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4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1D41ADE595B6B96CFF16FD3C03C97FAF19241CED2A0F97CF12F63DCC7C53150FF6E8A6FFFCBF084C2973D21M6XAD" TargetMode="External"/><Relationship Id="rId13" Type="http://schemas.openxmlformats.org/officeDocument/2006/relationships/hyperlink" Target="consultantplus://offline/ref=F851D41ADE595B6B96CFF16FD3C03C97FAF09A46CCD1A0F97CF12F63DCC7C53150FF6E8A6FFFCBF084C2973D21M6XAD" TargetMode="External"/><Relationship Id="rId18" Type="http://schemas.openxmlformats.org/officeDocument/2006/relationships/hyperlink" Target="consultantplus://offline/ref=F851D41ADE595B6B96CFF16FD3C03C97FAF19A4DCBD3A0F97CF12F63DCC7C53142FF36866FFAD5F785D7C16C673F49B6E866676E24340CDEM4X7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51D41ADE595B6B96CFF16FD3C03C97FAF19241CED2A0F97CF12F63DCC7C53150FF6E8A6FFFCBF084C2973D21M6XAD" TargetMode="External"/><Relationship Id="rId12" Type="http://schemas.openxmlformats.org/officeDocument/2006/relationships/hyperlink" Target="consultantplus://offline/ref=F851D41ADE595B6B96CFF16FD3C03C97FAF69246CBD6A0F97CF12F63DCC7C53150FF6E8A6FFFCBF084C2973D21M6XAD" TargetMode="External"/><Relationship Id="rId17" Type="http://schemas.openxmlformats.org/officeDocument/2006/relationships/hyperlink" Target="consultantplus://offline/ref=F851D41ADE595B6B96CFF16FD3C03C97FAF69F42CDD3A0F97CF12F63DCC7C53150FF6E8A6FFFCBF084C2973D21M6X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51D41ADE595B6B96CFF16FD3C03C97FAF69F42CDD3A0F97CF12F63DCC7C53150FF6E8A6FFFCBF084C2973D21M6XAD" TargetMode="External"/><Relationship Id="rId20" Type="http://schemas.openxmlformats.org/officeDocument/2006/relationships/hyperlink" Target="consultantplus://offline/ref=F851D41ADE595B6B96CFF16FD3C03C97FAF09847CED7A0F97CF12F63DCC7C53142FF368367FBD1FBD68DD1682E6A40A8EC7E796A3A34M0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1D41ADE595B6B96CFF16FD3C03C97FAF19241CED2A0F97CF12F63DCC7C53150FF6E8A6FFFCBF084C2973D21M6XAD" TargetMode="External"/><Relationship Id="rId11" Type="http://schemas.openxmlformats.org/officeDocument/2006/relationships/hyperlink" Target="consultantplus://offline/ref=F851D41ADE595B6B96CFF16FD3C03C97FAF19246C2D7A0F97CF12F63DCC7C53150FF6E8A6FFFCBF084C2973D21M6XAD" TargetMode="External"/><Relationship Id="rId5" Type="http://schemas.openxmlformats.org/officeDocument/2006/relationships/hyperlink" Target="consultantplus://offline/ref=F851D41ADE595B6B96CFF16FD3C03C97FAF19241CED2A0F97CF12F63DCC7C53150FF6E8A6FFFCBF084C2973D21M6XAD" TargetMode="External"/><Relationship Id="rId15" Type="http://schemas.openxmlformats.org/officeDocument/2006/relationships/hyperlink" Target="consultantplus://offline/ref=F851D41ADE595B6B96CFF16FD3C03C97FAF09A46C9D6A0F97CF12F63DCC7C53150FF6E8A6FFFCBF084C2973D21M6XAD" TargetMode="External"/><Relationship Id="rId10" Type="http://schemas.openxmlformats.org/officeDocument/2006/relationships/hyperlink" Target="consultantplus://offline/ref=F851D41ADE595B6B96CFF16FD3C03C97FAF19241CED2A0F97CF12F63DCC7C53150FF6E8A6FFFCBF084C2973D21M6XAD" TargetMode="External"/><Relationship Id="rId19" Type="http://schemas.openxmlformats.org/officeDocument/2006/relationships/hyperlink" Target="consultantplus://offline/ref=F851D41ADE595B6B96CFF16FD3C03C97FAF09A46CFD5A0F97CF12F63DCC7C53142FF368068F081A1C689983D277444B0F27A676AM3XAD" TargetMode="External"/><Relationship Id="rId4" Type="http://schemas.openxmlformats.org/officeDocument/2006/relationships/hyperlink" Target="consultantplus://offline/ref=F851D41ADE595B6B96CFF16FD3C03C97FAF79940C2D2A0F97CF12F63DCC7C53142FF36866FFBD5F182D7C16C673F49B6E866676E24340CDEM4X7D" TargetMode="External"/><Relationship Id="rId9" Type="http://schemas.openxmlformats.org/officeDocument/2006/relationships/hyperlink" Target="consultantplus://offline/ref=F851D41ADE595B6B96CFF16FD3C03C97FAF19241CED2A0F97CF12F63DCC7C53150FF6E8A6FFFCBF084C2973D21M6XAD" TargetMode="External"/><Relationship Id="rId14" Type="http://schemas.openxmlformats.org/officeDocument/2006/relationships/hyperlink" Target="consultantplus://offline/ref=F851D41ADE595B6B96CFF16FD3C03C97FAF19A4DCAD6A0F97CF12F63DCC7C53150FF6E8A6FFFCBF084C2973D21M6X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Пяткова</dc:creator>
  <cp:keywords/>
  <dc:description/>
  <cp:lastModifiedBy>Любовь Викторовна Пяткова</cp:lastModifiedBy>
  <cp:revision>1</cp:revision>
  <dcterms:created xsi:type="dcterms:W3CDTF">2020-06-04T03:23:00Z</dcterms:created>
  <dcterms:modified xsi:type="dcterms:W3CDTF">2020-06-04T03:38:00Z</dcterms:modified>
</cp:coreProperties>
</file>