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C0" w:rsidRDefault="00C64AC0" w:rsidP="00C64AC0">
      <w:pPr>
        <w:pStyle w:val="Title"/>
        <w:spacing w:before="0" w:after="0"/>
        <w:rPr>
          <w:rFonts w:ascii="Times New Roman" w:hAnsi="Times New Roman" w:cs="Times New Roman"/>
        </w:rPr>
      </w:pPr>
      <w:r w:rsidRPr="00774492">
        <w:rPr>
          <w:rFonts w:ascii="Times New Roman" w:hAnsi="Times New Roman" w:cs="Times New Roman"/>
        </w:rPr>
        <w:t xml:space="preserve">АДМИНИСТРАЦИЯ </w:t>
      </w:r>
    </w:p>
    <w:p w:rsidR="00C64AC0" w:rsidRPr="003E43AD" w:rsidRDefault="00C64AC0" w:rsidP="00C64AC0">
      <w:pPr>
        <w:pStyle w:val="Title"/>
        <w:spacing w:before="0" w:after="0"/>
        <w:rPr>
          <w:rFonts w:ascii="Times New Roman" w:hAnsi="Times New Roman" w:cs="Times New Roman"/>
        </w:rPr>
      </w:pPr>
      <w:r w:rsidRPr="003E43AD">
        <w:rPr>
          <w:rFonts w:ascii="Times New Roman" w:hAnsi="Times New Roman" w:cs="Times New Roman"/>
        </w:rPr>
        <w:t>муниципального района «Дульдургинский район»</w:t>
      </w:r>
    </w:p>
    <w:p w:rsidR="00C64AC0" w:rsidRPr="00774492" w:rsidRDefault="00C64AC0" w:rsidP="00C64AC0">
      <w:pPr>
        <w:pStyle w:val="Title"/>
        <w:spacing w:before="0" w:after="0"/>
        <w:rPr>
          <w:rFonts w:ascii="Times New Roman" w:hAnsi="Times New Roman" w:cs="Times New Roman"/>
        </w:rPr>
      </w:pPr>
    </w:p>
    <w:p w:rsidR="00C64AC0" w:rsidRPr="00774492" w:rsidRDefault="00C64AC0" w:rsidP="00C64AC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64AC0" w:rsidRPr="00774492" w:rsidRDefault="00C64AC0" w:rsidP="00C64AC0">
      <w:pPr>
        <w:pStyle w:val="Title"/>
        <w:spacing w:before="0" w:after="0"/>
        <w:rPr>
          <w:rFonts w:ascii="Times New Roman" w:hAnsi="Times New Roman" w:cs="Times New Roman"/>
        </w:rPr>
      </w:pPr>
      <w:r w:rsidRPr="00774492">
        <w:rPr>
          <w:rFonts w:ascii="Times New Roman" w:hAnsi="Times New Roman" w:cs="Times New Roman"/>
        </w:rPr>
        <w:t>ПОСТАНОВЛЕНИЕ</w:t>
      </w:r>
    </w:p>
    <w:p w:rsidR="00C64AC0" w:rsidRPr="007C3861" w:rsidRDefault="00C64AC0" w:rsidP="00C64AC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4AC0" w:rsidRPr="007C3861" w:rsidRDefault="00C64AC0" w:rsidP="00C64AC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 ________ 2024</w:t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_____</w:t>
      </w:r>
    </w:p>
    <w:p w:rsidR="00C64AC0" w:rsidRPr="007C3861" w:rsidRDefault="00C64AC0" w:rsidP="00C64AC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4AC0" w:rsidRDefault="00C64AC0" w:rsidP="00C64AC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Дульдурга</w:t>
      </w:r>
    </w:p>
    <w:p w:rsidR="00C64AC0" w:rsidRDefault="00C64AC0" w:rsidP="00C64AC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4AC0" w:rsidRPr="001952D5" w:rsidRDefault="00C64AC0" w:rsidP="00C64AC0">
      <w:pPr>
        <w:jc w:val="both"/>
        <w:rPr>
          <w:sz w:val="28"/>
        </w:rPr>
      </w:pPr>
      <w:r>
        <w:rPr>
          <w:sz w:val="28"/>
        </w:rPr>
        <w:t>О</w:t>
      </w:r>
      <w:r w:rsidRPr="001952D5">
        <w:rPr>
          <w:sz w:val="28"/>
        </w:rPr>
        <w:t xml:space="preserve"> порядке создания, хранения,</w:t>
      </w:r>
      <w:r w:rsidRPr="001952D5">
        <w:rPr>
          <w:color w:val="FF0000"/>
          <w:sz w:val="28"/>
        </w:rPr>
        <w:t xml:space="preserve"> </w:t>
      </w:r>
      <w:r w:rsidRPr="001952D5">
        <w:rPr>
          <w:color w:val="000000"/>
          <w:sz w:val="28"/>
        </w:rPr>
        <w:t>использования и восполнения</w:t>
      </w:r>
      <w:r w:rsidRPr="001952D5">
        <w:rPr>
          <w:sz w:val="28"/>
        </w:rPr>
        <w:t xml:space="preserve"> резерва материальных ресурсов для предупреждения и ликвидации чрезвычайных ситуаций на территории мун</w:t>
      </w:r>
      <w:r>
        <w:rPr>
          <w:sz w:val="28"/>
        </w:rPr>
        <w:t>иципального района «Дульдургинский</w:t>
      </w:r>
      <w:r w:rsidRPr="001952D5">
        <w:rPr>
          <w:sz w:val="28"/>
        </w:rPr>
        <w:t xml:space="preserve"> район»</w:t>
      </w:r>
    </w:p>
    <w:p w:rsidR="00C64AC0" w:rsidRPr="00C64AC0" w:rsidRDefault="00C64AC0" w:rsidP="00C64AC0">
      <w:pPr>
        <w:pStyle w:val="a4"/>
        <w:tabs>
          <w:tab w:val="left" w:pos="-5220"/>
        </w:tabs>
        <w:jc w:val="both"/>
        <w:rPr>
          <w:b w:val="0"/>
          <w:sz w:val="28"/>
        </w:rPr>
      </w:pPr>
      <w:r w:rsidRPr="00CD0578">
        <w:rPr>
          <w:rFonts w:ascii="Arial" w:hAnsi="Arial" w:cs="Arial"/>
          <w:b w:val="0"/>
          <w:color w:val="3C3C3C"/>
          <w:spacing w:val="2"/>
          <w:sz w:val="31"/>
          <w:szCs w:val="31"/>
        </w:rPr>
        <w:t> </w:t>
      </w:r>
      <w:r w:rsidRPr="00CD0578">
        <w:rPr>
          <w:rFonts w:ascii="Arial" w:hAnsi="Arial" w:cs="Arial"/>
          <w:b w:val="0"/>
          <w:color w:val="3C3C3C"/>
          <w:spacing w:val="2"/>
          <w:sz w:val="31"/>
          <w:szCs w:val="31"/>
        </w:rPr>
        <w:br/>
      </w:r>
      <w:r w:rsidRPr="00CD0578">
        <w:rPr>
          <w:b w:val="0"/>
          <w:color w:val="000000"/>
          <w:sz w:val="28"/>
          <w:szCs w:val="28"/>
          <w:lang w:bidi="ru-RU"/>
        </w:rPr>
        <w:t xml:space="preserve">          В соответствии с Федеральным законом от 21 декабря 1994 года № 68-ФЗ «О защите населения и территорий от чрезвычайных ситуаций природного и техноген</w:t>
      </w:r>
      <w:r>
        <w:rPr>
          <w:b w:val="0"/>
          <w:color w:val="000000"/>
          <w:sz w:val="28"/>
          <w:szCs w:val="28"/>
          <w:lang w:bidi="ru-RU"/>
        </w:rPr>
        <w:t>ного характера», руководствуясь</w:t>
      </w:r>
      <w:r>
        <w:rPr>
          <w:b w:val="0"/>
          <w:sz w:val="28"/>
          <w:szCs w:val="28"/>
        </w:rPr>
        <w:t xml:space="preserve"> Уставом</w:t>
      </w:r>
      <w:r w:rsidRPr="00CD0578">
        <w:rPr>
          <w:b w:val="0"/>
          <w:sz w:val="28"/>
          <w:szCs w:val="28"/>
        </w:rPr>
        <w:t xml:space="preserve"> муниципального района «</w:t>
      </w:r>
      <w:r>
        <w:rPr>
          <w:b w:val="0"/>
          <w:sz w:val="28"/>
          <w:szCs w:val="28"/>
        </w:rPr>
        <w:t>Дульдургинский</w:t>
      </w:r>
      <w:r w:rsidRPr="00CD0578">
        <w:rPr>
          <w:b w:val="0"/>
          <w:sz w:val="28"/>
          <w:szCs w:val="28"/>
        </w:rPr>
        <w:t xml:space="preserve"> район», администрация муниципального района «</w:t>
      </w:r>
      <w:r>
        <w:rPr>
          <w:b w:val="0"/>
          <w:sz w:val="28"/>
          <w:szCs w:val="28"/>
        </w:rPr>
        <w:t>Дульдургинский</w:t>
      </w:r>
      <w:r w:rsidRPr="00CD0578">
        <w:rPr>
          <w:b w:val="0"/>
          <w:sz w:val="28"/>
          <w:szCs w:val="28"/>
        </w:rPr>
        <w:t xml:space="preserve"> район»</w:t>
      </w:r>
      <w:r>
        <w:rPr>
          <w:b w:val="0"/>
          <w:sz w:val="28"/>
          <w:szCs w:val="28"/>
        </w:rPr>
        <w:t>,</w:t>
      </w:r>
      <w:r w:rsidRPr="00684127">
        <w:rPr>
          <w:b w:val="0"/>
          <w:sz w:val="28"/>
        </w:rPr>
        <w:t xml:space="preserve"> </w:t>
      </w:r>
      <w:r w:rsidRPr="00C64AC0">
        <w:rPr>
          <w:b w:val="0"/>
          <w:sz w:val="28"/>
        </w:rPr>
        <w:t>постановляет:</w:t>
      </w:r>
    </w:p>
    <w:p w:rsidR="00C64AC0" w:rsidRPr="00CD0578" w:rsidRDefault="00B50852" w:rsidP="00C64AC0">
      <w:pPr>
        <w:ind w:firstLine="709"/>
        <w:jc w:val="both"/>
        <w:rPr>
          <w:sz w:val="28"/>
        </w:rPr>
      </w:pPr>
      <w:r>
        <w:rPr>
          <w:sz w:val="28"/>
          <w:szCs w:val="28"/>
        </w:rPr>
        <w:t>1. Утвердить прилагаемый</w:t>
      </w:r>
      <w:r w:rsidR="00C64AC0" w:rsidRPr="00CD0578">
        <w:rPr>
          <w:sz w:val="28"/>
          <w:szCs w:val="28"/>
        </w:rPr>
        <w:t xml:space="preserve"> Порядок создания, хранения, использования, восполнения резерва материальных ресурсов для</w:t>
      </w:r>
      <w:r w:rsidR="00C64AC0" w:rsidRPr="00CD0578">
        <w:rPr>
          <w:sz w:val="28"/>
        </w:rPr>
        <w:t xml:space="preserve"> ликвидации чрезвычайных ситуаций на территории муниципального района «</w:t>
      </w:r>
      <w:r w:rsidR="00C64AC0">
        <w:rPr>
          <w:sz w:val="28"/>
        </w:rPr>
        <w:t>Дульдургинский</w:t>
      </w:r>
      <w:r w:rsidR="00C64AC0" w:rsidRPr="00CD0578">
        <w:rPr>
          <w:sz w:val="28"/>
        </w:rPr>
        <w:t xml:space="preserve"> район» (Приложение № 1).</w:t>
      </w:r>
    </w:p>
    <w:p w:rsidR="00C64AC0" w:rsidRPr="00CD0578" w:rsidRDefault="00C64AC0" w:rsidP="00C64AC0">
      <w:pPr>
        <w:tabs>
          <w:tab w:val="left" w:pos="993"/>
        </w:tabs>
        <w:ind w:firstLine="709"/>
        <w:jc w:val="both"/>
        <w:rPr>
          <w:sz w:val="28"/>
        </w:rPr>
      </w:pPr>
      <w:r w:rsidRPr="00CD0578">
        <w:rPr>
          <w:sz w:val="28"/>
        </w:rPr>
        <w:t>2. Утвердить прилагаемые номенклатуру и объемы резервов материальных ресурсов для ликвидации чрезвычайных ситуаций природного и техногенного характера на территории муниципального района «</w:t>
      </w:r>
      <w:r>
        <w:rPr>
          <w:sz w:val="28"/>
        </w:rPr>
        <w:t>Дульдургинский</w:t>
      </w:r>
      <w:r w:rsidRPr="00CD0578">
        <w:rPr>
          <w:sz w:val="28"/>
        </w:rPr>
        <w:t xml:space="preserve"> район» (Приложение № 2). </w:t>
      </w:r>
    </w:p>
    <w:p w:rsidR="00C64AC0" w:rsidRPr="00CD0578" w:rsidRDefault="00C64AC0" w:rsidP="00C64AC0">
      <w:pPr>
        <w:ind w:firstLine="709"/>
        <w:jc w:val="both"/>
        <w:rPr>
          <w:sz w:val="28"/>
          <w:szCs w:val="28"/>
        </w:rPr>
      </w:pPr>
      <w:r w:rsidRPr="00CD0578">
        <w:rPr>
          <w:sz w:val="28"/>
        </w:rPr>
        <w:t>3</w:t>
      </w:r>
      <w:r w:rsidRPr="00CD0578">
        <w:rPr>
          <w:sz w:val="28"/>
          <w:szCs w:val="28"/>
        </w:rPr>
        <w:t>. Рекомендовать руководителям предприятий, организаций и учреждений, осуществляющим деятельность на территории муниципального района «</w:t>
      </w:r>
      <w:r>
        <w:rPr>
          <w:sz w:val="28"/>
          <w:szCs w:val="28"/>
        </w:rPr>
        <w:t>Дульдургинский</w:t>
      </w:r>
      <w:r w:rsidRPr="00CD0578">
        <w:rPr>
          <w:sz w:val="28"/>
          <w:szCs w:val="28"/>
        </w:rPr>
        <w:t xml:space="preserve"> район», создать соответствующие резервы материальных ресурсов для ликвидации чрезвычайной ситуации.</w:t>
      </w:r>
    </w:p>
    <w:p w:rsidR="00C64AC0" w:rsidRPr="00CD0578" w:rsidRDefault="00C64AC0" w:rsidP="00C64AC0">
      <w:pPr>
        <w:jc w:val="both"/>
        <w:rPr>
          <w:sz w:val="28"/>
        </w:rPr>
      </w:pPr>
      <w:r w:rsidRPr="00CD0578">
        <w:rPr>
          <w:sz w:val="28"/>
        </w:rPr>
        <w:t xml:space="preserve">          </w:t>
      </w:r>
      <w:r>
        <w:rPr>
          <w:sz w:val="28"/>
        </w:rPr>
        <w:t>4</w:t>
      </w:r>
      <w:r w:rsidRPr="00CD0578">
        <w:rPr>
          <w:sz w:val="28"/>
        </w:rPr>
        <w:t xml:space="preserve">. Признать утратившим силу постановление администрации </w:t>
      </w:r>
      <w:r w:rsidRPr="00CD057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Дульдургинский</w:t>
      </w:r>
      <w:r w:rsidRPr="00CD0578">
        <w:rPr>
          <w:sz w:val="28"/>
          <w:szCs w:val="28"/>
        </w:rPr>
        <w:t xml:space="preserve"> район»</w:t>
      </w:r>
      <w:r w:rsidRPr="00CD0578">
        <w:rPr>
          <w:sz w:val="28"/>
        </w:rPr>
        <w:t xml:space="preserve"> № 4</w:t>
      </w:r>
      <w:r>
        <w:rPr>
          <w:sz w:val="28"/>
        </w:rPr>
        <w:t>34</w:t>
      </w:r>
      <w:r w:rsidRPr="00CD0578">
        <w:rPr>
          <w:sz w:val="28"/>
        </w:rPr>
        <w:t xml:space="preserve"> от </w:t>
      </w:r>
      <w:r>
        <w:rPr>
          <w:sz w:val="28"/>
        </w:rPr>
        <w:t>11</w:t>
      </w:r>
      <w:r w:rsidRPr="00CD0578">
        <w:rPr>
          <w:sz w:val="28"/>
        </w:rPr>
        <w:t xml:space="preserve"> </w:t>
      </w:r>
      <w:r>
        <w:rPr>
          <w:sz w:val="28"/>
        </w:rPr>
        <w:t>октября</w:t>
      </w:r>
      <w:r w:rsidRPr="00CD0578">
        <w:rPr>
          <w:sz w:val="28"/>
        </w:rPr>
        <w:t xml:space="preserve"> 20</w:t>
      </w:r>
      <w:r>
        <w:rPr>
          <w:sz w:val="28"/>
        </w:rPr>
        <w:t>21</w:t>
      </w:r>
      <w:r w:rsidRPr="00CD0578">
        <w:rPr>
          <w:sz w:val="28"/>
        </w:rPr>
        <w:t xml:space="preserve"> года «</w:t>
      </w:r>
      <w:r>
        <w:rPr>
          <w:sz w:val="28"/>
          <w:szCs w:val="28"/>
        </w:rPr>
        <w:t>О создании резерва материальных ресурсов для ликвидации чрезвычайных ситуаций природного и техногенного характера</w:t>
      </w:r>
      <w:r w:rsidRPr="00CD0578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района «Дульдургинский</w:t>
      </w:r>
      <w:r w:rsidRPr="00CD0578">
        <w:rPr>
          <w:sz w:val="28"/>
          <w:szCs w:val="28"/>
        </w:rPr>
        <w:t xml:space="preserve"> район»</w:t>
      </w:r>
    </w:p>
    <w:p w:rsidR="00C64AC0" w:rsidRDefault="00C64AC0" w:rsidP="00C64AC0">
      <w:pPr>
        <w:pStyle w:val="a4"/>
        <w:jc w:val="both"/>
        <w:rPr>
          <w:sz w:val="28"/>
          <w:szCs w:val="28"/>
        </w:rPr>
      </w:pPr>
      <w:r>
        <w:rPr>
          <w:b w:val="0"/>
          <w:sz w:val="28"/>
        </w:rPr>
        <w:tab/>
        <w:t xml:space="preserve">5. </w:t>
      </w:r>
      <w:r w:rsidRPr="001952D5">
        <w:rPr>
          <w:b w:val="0"/>
          <w:sz w:val="28"/>
          <w:szCs w:val="28"/>
        </w:rPr>
        <w:t>Контроль за исполнением постановления возложить на заместителя председателя комиссии по предупреждению и ликвидации чрезвычайных ситуаций и пожарной безопасности мун</w:t>
      </w:r>
      <w:r>
        <w:rPr>
          <w:b w:val="0"/>
          <w:sz w:val="28"/>
          <w:szCs w:val="28"/>
        </w:rPr>
        <w:t>иципального района «Дульдургинский</w:t>
      </w:r>
      <w:r w:rsidRPr="001952D5">
        <w:rPr>
          <w:b w:val="0"/>
          <w:sz w:val="28"/>
          <w:szCs w:val="28"/>
        </w:rPr>
        <w:t xml:space="preserve"> район»</w:t>
      </w:r>
      <w:r>
        <w:rPr>
          <w:b w:val="0"/>
          <w:sz w:val="28"/>
          <w:szCs w:val="28"/>
        </w:rPr>
        <w:t>.</w:t>
      </w:r>
    </w:p>
    <w:p w:rsidR="00A52AEE" w:rsidRDefault="00C64AC0" w:rsidP="00A52AE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50852" w:rsidRDefault="00B50852" w:rsidP="00A52AEE">
      <w:pPr>
        <w:jc w:val="both"/>
        <w:rPr>
          <w:sz w:val="28"/>
          <w:szCs w:val="28"/>
        </w:rPr>
      </w:pPr>
    </w:p>
    <w:p w:rsidR="00C64AC0" w:rsidRPr="00A52AEE" w:rsidRDefault="003C1CB1" w:rsidP="00A52AEE">
      <w:pPr>
        <w:jc w:val="both"/>
        <w:rPr>
          <w:sz w:val="28"/>
          <w:szCs w:val="28"/>
        </w:rPr>
      </w:pPr>
      <w:r w:rsidRPr="00A52AEE">
        <w:rPr>
          <w:sz w:val="28"/>
          <w:szCs w:val="28"/>
        </w:rPr>
        <w:t>Г</w:t>
      </w:r>
      <w:r w:rsidR="00C64AC0" w:rsidRPr="00A52AEE">
        <w:rPr>
          <w:sz w:val="28"/>
          <w:szCs w:val="28"/>
        </w:rPr>
        <w:t>лав</w:t>
      </w:r>
      <w:r w:rsidRPr="00A52AEE">
        <w:rPr>
          <w:sz w:val="28"/>
          <w:szCs w:val="28"/>
        </w:rPr>
        <w:t>а</w:t>
      </w:r>
      <w:r w:rsidR="00C64AC0" w:rsidRPr="00A52AEE">
        <w:rPr>
          <w:sz w:val="28"/>
          <w:szCs w:val="28"/>
        </w:rPr>
        <w:t xml:space="preserve"> муниципального района                 </w:t>
      </w:r>
      <w:r w:rsidRPr="00A52AEE">
        <w:rPr>
          <w:sz w:val="28"/>
          <w:szCs w:val="28"/>
        </w:rPr>
        <w:t xml:space="preserve">                                  А.М. Мункуев</w:t>
      </w:r>
    </w:p>
    <w:p w:rsidR="00C64AC0" w:rsidRPr="00CD0578" w:rsidRDefault="00C64AC0" w:rsidP="00C64AC0">
      <w:pPr>
        <w:ind w:left="5103"/>
        <w:jc w:val="center"/>
        <w:rPr>
          <w:sz w:val="28"/>
        </w:rPr>
      </w:pPr>
      <w:r w:rsidRPr="00CD0578">
        <w:rPr>
          <w:sz w:val="28"/>
        </w:rPr>
        <w:lastRenderedPageBreak/>
        <w:t>Приложение № 1</w:t>
      </w:r>
    </w:p>
    <w:p w:rsidR="00C64AC0" w:rsidRPr="00CD0578" w:rsidRDefault="00C64AC0" w:rsidP="00C64AC0">
      <w:pPr>
        <w:ind w:left="5103"/>
        <w:jc w:val="center"/>
        <w:rPr>
          <w:sz w:val="28"/>
        </w:rPr>
      </w:pPr>
      <w:r w:rsidRPr="00CD0578">
        <w:rPr>
          <w:sz w:val="28"/>
        </w:rPr>
        <w:t>к постановлению администрации</w:t>
      </w:r>
    </w:p>
    <w:p w:rsidR="00C64AC0" w:rsidRPr="00CD0578" w:rsidRDefault="00C64AC0" w:rsidP="00C64A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D0578">
        <w:rPr>
          <w:color w:val="2D2D2D"/>
          <w:spacing w:val="2"/>
          <w:sz w:val="28"/>
          <w:szCs w:val="28"/>
        </w:rPr>
        <w:t>муниципального района «</w:t>
      </w:r>
      <w:r w:rsidR="003C1CB1">
        <w:rPr>
          <w:color w:val="2D2D2D"/>
          <w:spacing w:val="2"/>
          <w:sz w:val="28"/>
          <w:szCs w:val="28"/>
        </w:rPr>
        <w:t>Дульдургинский</w:t>
      </w:r>
      <w:r w:rsidRPr="00CD0578">
        <w:rPr>
          <w:color w:val="2D2D2D"/>
          <w:spacing w:val="2"/>
          <w:sz w:val="28"/>
          <w:szCs w:val="28"/>
        </w:rPr>
        <w:t xml:space="preserve"> район»</w:t>
      </w:r>
    </w:p>
    <w:p w:rsidR="00C64AC0" w:rsidRPr="00CD0578" w:rsidRDefault="00C64AC0" w:rsidP="00C64A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D0578">
        <w:rPr>
          <w:color w:val="2D2D2D"/>
          <w:spacing w:val="2"/>
          <w:sz w:val="28"/>
          <w:szCs w:val="28"/>
        </w:rPr>
        <w:t xml:space="preserve">от «____» </w:t>
      </w:r>
      <w:r w:rsidR="003C1CB1">
        <w:rPr>
          <w:color w:val="2D2D2D"/>
          <w:spacing w:val="2"/>
          <w:sz w:val="28"/>
          <w:szCs w:val="28"/>
        </w:rPr>
        <w:t>июля</w:t>
      </w:r>
      <w:r w:rsidR="003C1CB1" w:rsidRPr="00CD0578">
        <w:rPr>
          <w:color w:val="2D2D2D"/>
          <w:spacing w:val="2"/>
          <w:sz w:val="28"/>
          <w:szCs w:val="28"/>
        </w:rPr>
        <w:t xml:space="preserve"> 2024</w:t>
      </w:r>
      <w:r w:rsidRPr="00CD0578">
        <w:rPr>
          <w:color w:val="2D2D2D"/>
          <w:spacing w:val="2"/>
          <w:sz w:val="28"/>
          <w:szCs w:val="28"/>
        </w:rPr>
        <w:t xml:space="preserve"> № ______</w:t>
      </w:r>
    </w:p>
    <w:p w:rsidR="00C64AC0" w:rsidRPr="00CD0578" w:rsidRDefault="00C64AC0" w:rsidP="00C64A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64AC0" w:rsidRPr="00CD0578" w:rsidRDefault="00C64AC0" w:rsidP="00C64AC0">
      <w:pPr>
        <w:keepNext/>
        <w:shd w:val="clear" w:color="auto" w:fill="FFFFFF"/>
        <w:spacing w:before="375" w:after="225"/>
        <w:jc w:val="center"/>
        <w:textAlignment w:val="baseline"/>
        <w:outlineLvl w:val="1"/>
        <w:rPr>
          <w:iCs/>
          <w:color w:val="3C3C3C"/>
          <w:spacing w:val="2"/>
        </w:rPr>
      </w:pPr>
    </w:p>
    <w:p w:rsidR="00C64AC0" w:rsidRPr="00CD0578" w:rsidRDefault="00C64AC0" w:rsidP="00C64AC0">
      <w:pPr>
        <w:jc w:val="center"/>
        <w:rPr>
          <w:b/>
          <w:sz w:val="32"/>
          <w:szCs w:val="28"/>
        </w:rPr>
      </w:pPr>
      <w:r w:rsidRPr="00CD0578">
        <w:rPr>
          <w:b/>
          <w:sz w:val="32"/>
        </w:rPr>
        <w:t>ПОРЯДОК</w:t>
      </w:r>
    </w:p>
    <w:p w:rsidR="00C64AC0" w:rsidRPr="00CD0578" w:rsidRDefault="00C64AC0" w:rsidP="00C64AC0">
      <w:pPr>
        <w:jc w:val="center"/>
        <w:rPr>
          <w:b/>
          <w:sz w:val="28"/>
        </w:rPr>
      </w:pPr>
      <w:r w:rsidRPr="00CD0578">
        <w:rPr>
          <w:b/>
          <w:color w:val="000000"/>
          <w:sz w:val="28"/>
        </w:rPr>
        <w:t>создания, хранения, использования и восполнения</w:t>
      </w:r>
      <w:r w:rsidRPr="00CD0578">
        <w:rPr>
          <w:b/>
          <w:sz w:val="28"/>
          <w:szCs w:val="28"/>
        </w:rPr>
        <w:t xml:space="preserve"> резерва материальных ресурсов для </w:t>
      </w:r>
      <w:r w:rsidRPr="00CD0578">
        <w:rPr>
          <w:b/>
          <w:sz w:val="28"/>
        </w:rPr>
        <w:t>предупреждения и ликвидации чрезвычайных ситуаций на территории</w:t>
      </w:r>
      <w:r w:rsidRPr="00CD0578">
        <w:rPr>
          <w:sz w:val="28"/>
        </w:rPr>
        <w:t xml:space="preserve"> </w:t>
      </w:r>
      <w:r w:rsidRPr="00CD0578">
        <w:rPr>
          <w:b/>
          <w:sz w:val="28"/>
        </w:rPr>
        <w:t>муниципального района «</w:t>
      </w:r>
      <w:r w:rsidR="003C1CB1">
        <w:rPr>
          <w:b/>
          <w:sz w:val="28"/>
        </w:rPr>
        <w:t>Дульдургинский</w:t>
      </w:r>
      <w:r w:rsidRPr="00CD0578">
        <w:rPr>
          <w:b/>
          <w:sz w:val="28"/>
        </w:rPr>
        <w:t xml:space="preserve"> район»</w:t>
      </w:r>
    </w:p>
    <w:p w:rsidR="00C64AC0" w:rsidRPr="00CD0578" w:rsidRDefault="00C64AC0" w:rsidP="00C64AC0">
      <w:pPr>
        <w:jc w:val="center"/>
        <w:rPr>
          <w:b/>
          <w:sz w:val="28"/>
        </w:rPr>
      </w:pP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 xml:space="preserve">1. Настоящий Порядок разработан в соответствии с </w:t>
      </w:r>
      <w:r w:rsidRPr="00CD0578">
        <w:rPr>
          <w:color w:val="000000"/>
          <w:sz w:val="28"/>
          <w:szCs w:val="28"/>
          <w:lang w:bidi="ru-RU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Pr="00CD0578">
        <w:rPr>
          <w:sz w:val="28"/>
        </w:rPr>
        <w:t xml:space="preserve"> и определяет основные принципы создания, хранения, использования и восполнения резерва материальных ресурсов, для ликвидации чрезвычайных ситуаций на территории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 (далее - муниципальный резерв).</w:t>
      </w:r>
    </w:p>
    <w:p w:rsidR="00C64AC0" w:rsidRPr="00CD0578" w:rsidRDefault="00C64AC0" w:rsidP="00C64AC0">
      <w:pPr>
        <w:ind w:firstLine="709"/>
        <w:jc w:val="both"/>
        <w:rPr>
          <w:color w:val="000000"/>
          <w:sz w:val="28"/>
          <w:lang w:bidi="ru-RU"/>
        </w:rPr>
      </w:pPr>
      <w:r w:rsidRPr="00CD0578">
        <w:rPr>
          <w:sz w:val="28"/>
        </w:rPr>
        <w:t xml:space="preserve">2. Муниципальный резерв создается в целях экстренного привлечения необходимых средств для первоочередного жизнеобеспечения пострадавшего населения, обеспечения аварийно-спасательных и аварийно-восстановительных работ в случае возникновения чрезвычайных ситуаций, оказание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населения, а также для предупреждения и </w:t>
      </w:r>
      <w:r w:rsidR="003C1CB1" w:rsidRPr="00CD0578">
        <w:rPr>
          <w:sz w:val="28"/>
        </w:rPr>
        <w:t>ликвидации последствий</w:t>
      </w:r>
      <w:r w:rsidRPr="00CD0578">
        <w:rPr>
          <w:sz w:val="28"/>
        </w:rPr>
        <w:t xml:space="preserve"> чрезвычайных ситуаций.</w:t>
      </w:r>
      <w:r w:rsidRPr="00CD0578">
        <w:rPr>
          <w:color w:val="000000"/>
          <w:sz w:val="28"/>
          <w:lang w:bidi="ru-RU"/>
        </w:rPr>
        <w:t xml:space="preserve"> </w:t>
      </w:r>
    </w:p>
    <w:p w:rsidR="00C64AC0" w:rsidRPr="00CD0578" w:rsidRDefault="00C64AC0" w:rsidP="00C64AC0">
      <w:pPr>
        <w:ind w:firstLine="709"/>
        <w:jc w:val="both"/>
        <w:rPr>
          <w:color w:val="000000"/>
          <w:sz w:val="28"/>
          <w:lang w:bidi="ru-RU"/>
        </w:rPr>
      </w:pPr>
      <w:r w:rsidRPr="00CD0578">
        <w:rPr>
          <w:color w:val="000000"/>
          <w:sz w:val="28"/>
          <w:lang w:bidi="ru-RU"/>
        </w:rPr>
        <w:t>Созданный резерв материальных ресурсов для ликвидации ЧС природного и техногенного характера могут использоваться в целях гражданской обороны в соответствии с законодательством Российской Федерации.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Муниципальный резерв может использоваться на иные цели, не связанные с ликвидацией чрезвычайных ситуаций, только на основании решений, принятых главой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 или лицом, его замещающим.</w:t>
      </w:r>
    </w:p>
    <w:p w:rsidR="00C64AC0" w:rsidRPr="003C1CB1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3. Управление муниципальным резер</w:t>
      </w:r>
      <w:r>
        <w:rPr>
          <w:sz w:val="28"/>
        </w:rPr>
        <w:t>вом осуществляется муниципальным</w:t>
      </w:r>
      <w:r w:rsidRPr="00CD0578">
        <w:rPr>
          <w:sz w:val="28"/>
        </w:rPr>
        <w:t xml:space="preserve"> </w:t>
      </w:r>
      <w:r>
        <w:rPr>
          <w:sz w:val="28"/>
        </w:rPr>
        <w:t xml:space="preserve">автономным </w:t>
      </w:r>
      <w:r w:rsidRPr="001952D5">
        <w:rPr>
          <w:sz w:val="28"/>
        </w:rPr>
        <w:t xml:space="preserve">учреждением </w:t>
      </w:r>
      <w:r w:rsidRPr="00144BAF">
        <w:rPr>
          <w:color w:val="000000"/>
          <w:sz w:val="28"/>
        </w:rPr>
        <w:t>«Центр материально-технического обеспечения» (далее МАУ «Ц</w:t>
      </w:r>
      <w:r w:rsidR="003C1CB1">
        <w:rPr>
          <w:color w:val="000000"/>
          <w:sz w:val="28"/>
        </w:rPr>
        <w:t>А</w:t>
      </w:r>
      <w:r w:rsidRPr="00144BAF">
        <w:rPr>
          <w:color w:val="000000"/>
          <w:sz w:val="28"/>
        </w:rPr>
        <w:t>М</w:t>
      </w:r>
      <w:r w:rsidR="003C1CB1">
        <w:rPr>
          <w:color w:val="000000"/>
          <w:sz w:val="28"/>
        </w:rPr>
        <w:t>ТО») по согласованию главой</w:t>
      </w:r>
      <w:r w:rsidRPr="00144BAF">
        <w:rPr>
          <w:color w:val="000000"/>
          <w:sz w:val="28"/>
        </w:rPr>
        <w:t xml:space="preserve"> муниципального района «</w:t>
      </w:r>
      <w:r w:rsidR="003C1CB1">
        <w:rPr>
          <w:color w:val="000000"/>
          <w:sz w:val="28"/>
        </w:rPr>
        <w:t>Дульдургинский</w:t>
      </w:r>
      <w:r w:rsidRPr="00144BAF">
        <w:rPr>
          <w:color w:val="000000"/>
          <w:sz w:val="28"/>
        </w:rPr>
        <w:t xml:space="preserve"> рай</w:t>
      </w:r>
      <w:r w:rsidR="003C1CB1">
        <w:rPr>
          <w:color w:val="000000"/>
          <w:sz w:val="28"/>
        </w:rPr>
        <w:t>он</w:t>
      </w:r>
      <w:r w:rsidR="003C1CB1" w:rsidRPr="003C1CB1">
        <w:rPr>
          <w:sz w:val="28"/>
        </w:rPr>
        <w:t>»</w:t>
      </w:r>
      <w:r w:rsidRPr="003C1CB1">
        <w:rPr>
          <w:sz w:val="28"/>
        </w:rPr>
        <w:t>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4. Муниципальный р</w:t>
      </w:r>
      <w:r w:rsidRPr="00CD0578">
        <w:rPr>
          <w:sz w:val="28"/>
          <w:szCs w:val="28"/>
        </w:rPr>
        <w:t>езерв включает в себя</w:t>
      </w:r>
      <w:r w:rsidRPr="00CD0578">
        <w:rPr>
          <w:sz w:val="28"/>
        </w:rPr>
        <w:t xml:space="preserve"> продовольствие, вещевое имущество, строительные материалы, нефтепродукты и другие материальные ресурсы.</w:t>
      </w:r>
    </w:p>
    <w:p w:rsidR="00C64AC0" w:rsidRPr="00CD0578" w:rsidRDefault="00C64AC0" w:rsidP="00C64AC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CD0578">
        <w:rPr>
          <w:sz w:val="28"/>
        </w:rPr>
        <w:t xml:space="preserve"> 5.</w:t>
      </w:r>
      <w:r w:rsidRPr="00CD0578">
        <w:rPr>
          <w:color w:val="000000"/>
          <w:sz w:val="28"/>
          <w:lang w:bidi="ru-RU"/>
        </w:rPr>
        <w:t xml:space="preserve"> Номенклатура и объемы резерва материальных ресурсов </w:t>
      </w:r>
      <w:r w:rsidRPr="00CD0578">
        <w:rPr>
          <w:color w:val="000000"/>
          <w:sz w:val="28"/>
          <w:lang w:bidi="ru-RU"/>
        </w:rPr>
        <w:lastRenderedPageBreak/>
        <w:t>утверждаются постановлением администрации муниципального района «</w:t>
      </w:r>
      <w:r w:rsidR="003C1CB1">
        <w:rPr>
          <w:color w:val="000000"/>
          <w:sz w:val="28"/>
          <w:lang w:bidi="ru-RU"/>
        </w:rPr>
        <w:t>Дульдургинский</w:t>
      </w:r>
      <w:r w:rsidRPr="00CD0578">
        <w:rPr>
          <w:color w:val="000000"/>
          <w:sz w:val="28"/>
          <w:lang w:bidi="ru-RU"/>
        </w:rPr>
        <w:t xml:space="preserve"> район»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C64AC0" w:rsidRPr="00CD0578" w:rsidRDefault="00C64AC0" w:rsidP="00C64AC0">
      <w:pPr>
        <w:tabs>
          <w:tab w:val="left" w:pos="567"/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6. Создание, хранение и восполнение муниципального резерва осуществляется за счет средств бюджета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</w:t>
      </w:r>
      <w:r w:rsidRPr="00CD0578">
        <w:rPr>
          <w:color w:val="000000"/>
          <w:sz w:val="28"/>
        </w:rPr>
        <w:t>район», а также за счет внебюджетных источников.</w:t>
      </w:r>
    </w:p>
    <w:p w:rsidR="00C64AC0" w:rsidRPr="00CD0578" w:rsidRDefault="00C64AC0" w:rsidP="00C64AC0">
      <w:pPr>
        <w:tabs>
          <w:tab w:val="left" w:pos="709"/>
        </w:tabs>
        <w:ind w:firstLine="709"/>
        <w:jc w:val="both"/>
        <w:rPr>
          <w:sz w:val="28"/>
        </w:rPr>
      </w:pPr>
      <w:r w:rsidRPr="00CD0578">
        <w:rPr>
          <w:sz w:val="28"/>
        </w:rPr>
        <w:t xml:space="preserve"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8. Бюджетная заявка для создания муниципального резерва на планируемый год представляется в комитет по финансам администрации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район». 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9. Функции по созданию и восполнению муниципального резерва возлагаются на администрацию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 xml:space="preserve">10. Функции по размещению, хранению и отпуску резерва возлагаются на </w:t>
      </w:r>
      <w:r w:rsidRPr="001952D5">
        <w:rPr>
          <w:sz w:val="28"/>
        </w:rPr>
        <w:t>МАУ «Ц</w:t>
      </w:r>
      <w:r w:rsidR="003C1CB1">
        <w:rPr>
          <w:sz w:val="28"/>
        </w:rPr>
        <w:t>А</w:t>
      </w:r>
      <w:r w:rsidRPr="001952D5">
        <w:rPr>
          <w:sz w:val="28"/>
        </w:rPr>
        <w:t>МТО».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11. Отдел гражданской обороны администрации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 (далее отдел ГО):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- разрабатывает предложения по номенклатуре и объемам материальных ресурсов в резерве;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- представляет на очередной год бюджетные заявки для закупки материальных ресурсов в резерв;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12.  Координация деятельности по управлению муниципальным резервом возлагается на Комиссию по чрезвычайным ситуациям администрации муниципального района «</w:t>
      </w:r>
      <w:r w:rsidR="003C1CB1">
        <w:rPr>
          <w:sz w:val="28"/>
        </w:rPr>
        <w:t>Дульдургинский</w:t>
      </w:r>
      <w:r w:rsidRPr="00CD0578">
        <w:rPr>
          <w:sz w:val="28"/>
        </w:rPr>
        <w:t xml:space="preserve"> район».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13. Методическое руководство по обеспечению создания, хранения, использования и восполнения муниципального резерва осуществляет отдел ГО администрации муниципального района «</w:t>
      </w:r>
      <w:r w:rsidR="007742B4">
        <w:rPr>
          <w:sz w:val="28"/>
        </w:rPr>
        <w:t>Дульдургинский</w:t>
      </w:r>
      <w:r w:rsidRPr="00CD0578">
        <w:rPr>
          <w:sz w:val="28"/>
        </w:rPr>
        <w:t xml:space="preserve"> район».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14. Материальные ресурсы, входящие в состав муниципального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15. Приобретение</w:t>
      </w:r>
      <w:r w:rsidRPr="00CD0578">
        <w:rPr>
          <w:spacing w:val="2"/>
          <w:sz w:val="28"/>
        </w:rPr>
        <w:t xml:space="preserve"> </w:t>
      </w:r>
      <w:r w:rsidRPr="00CD0578">
        <w:rPr>
          <w:sz w:val="28"/>
        </w:rPr>
        <w:t xml:space="preserve">материальных </w:t>
      </w:r>
      <w:r w:rsidR="007742B4" w:rsidRPr="00CD0578">
        <w:rPr>
          <w:sz w:val="28"/>
        </w:rPr>
        <w:t>ресурсов в</w:t>
      </w:r>
      <w:r w:rsidRPr="00CD0578">
        <w:rPr>
          <w:sz w:val="28"/>
        </w:rPr>
        <w:t xml:space="preserve"> муниципальный </w:t>
      </w:r>
      <w:r w:rsidR="007742B4" w:rsidRPr="00CD0578">
        <w:rPr>
          <w:sz w:val="28"/>
        </w:rPr>
        <w:t>резерв осуществляется</w:t>
      </w:r>
      <w:r w:rsidRPr="00CD0578">
        <w:rPr>
          <w:sz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16. 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 постоянном наличии. Выбор поставщиков осуществляется также в соответствии с Федеральным законом № 44-ФЗ.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lastRenderedPageBreak/>
        <w:t>17. Хранение материальных ресурсов муниципального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18. Отпуск материальных ресурсов из муниципального резерва администрации муниципального района «</w:t>
      </w:r>
      <w:r w:rsidR="007742B4">
        <w:rPr>
          <w:sz w:val="28"/>
        </w:rPr>
        <w:t>Дульдургинский</w:t>
      </w:r>
      <w:r w:rsidRPr="00CD0578">
        <w:rPr>
          <w:sz w:val="28"/>
        </w:rPr>
        <w:t xml:space="preserve"> район» осуществляется по письменно</w:t>
      </w:r>
      <w:r>
        <w:rPr>
          <w:sz w:val="28"/>
        </w:rPr>
        <w:t>й</w:t>
      </w:r>
      <w:r w:rsidR="007742B4">
        <w:rPr>
          <w:sz w:val="28"/>
        </w:rPr>
        <w:t xml:space="preserve"> заявке администраций</w:t>
      </w:r>
      <w:r w:rsidRPr="00CD0578">
        <w:rPr>
          <w:sz w:val="28"/>
        </w:rPr>
        <w:t xml:space="preserve"> сельских поселений, </w:t>
      </w:r>
      <w:r w:rsidR="007742B4">
        <w:rPr>
          <w:sz w:val="28"/>
        </w:rPr>
        <w:t>организаций,</w:t>
      </w:r>
      <w:r w:rsidR="007742B4" w:rsidRPr="00CD0578">
        <w:rPr>
          <w:sz w:val="28"/>
        </w:rPr>
        <w:t xml:space="preserve"> которая</w:t>
      </w:r>
      <w:r w:rsidRPr="00CD0578">
        <w:rPr>
          <w:sz w:val="28"/>
        </w:rPr>
        <w:t xml:space="preserve"> </w:t>
      </w:r>
      <w:r w:rsidR="007742B4" w:rsidRPr="00CD0578">
        <w:rPr>
          <w:sz w:val="28"/>
        </w:rPr>
        <w:t>должна быть</w:t>
      </w:r>
      <w:r w:rsidRPr="00CD0578">
        <w:rPr>
          <w:sz w:val="28"/>
        </w:rPr>
        <w:t xml:space="preserve"> рассмотрена Комиссией по чрезвычайным ситуациям. По результатам решения Комиссии оформляется протокол с последующей подготовкой распоряжения администрации муниципального района «</w:t>
      </w:r>
      <w:r w:rsidR="007742B4">
        <w:rPr>
          <w:sz w:val="28"/>
        </w:rPr>
        <w:t>Дульдургинский</w:t>
      </w:r>
      <w:r w:rsidRPr="00CD0578">
        <w:rPr>
          <w:sz w:val="28"/>
        </w:rPr>
        <w:t xml:space="preserve"> район».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19. Использование муниципального резерва осуществляется на безвозмездной или возвратной основе.</w:t>
      </w:r>
    </w:p>
    <w:p w:rsidR="00C64AC0" w:rsidRPr="00CD0578" w:rsidRDefault="00C64AC0" w:rsidP="00C64AC0">
      <w:pPr>
        <w:tabs>
          <w:tab w:val="left" w:pos="1134"/>
        </w:tabs>
        <w:ind w:firstLine="709"/>
        <w:jc w:val="both"/>
        <w:rPr>
          <w:sz w:val="28"/>
        </w:rPr>
      </w:pPr>
      <w:r w:rsidRPr="00CD0578">
        <w:rPr>
          <w:sz w:val="28"/>
        </w:rPr>
        <w:t>20. К заявке должны быть приложены следующие документы:</w:t>
      </w:r>
    </w:p>
    <w:p w:rsidR="00C64AC0" w:rsidRPr="00CD0578" w:rsidRDefault="00C64AC0" w:rsidP="00C64AC0">
      <w:pPr>
        <w:tabs>
          <w:tab w:val="left" w:pos="1134"/>
        </w:tabs>
        <w:ind w:firstLine="709"/>
        <w:jc w:val="both"/>
        <w:rPr>
          <w:sz w:val="28"/>
        </w:rPr>
      </w:pPr>
      <w:r w:rsidRPr="00CD0578">
        <w:rPr>
          <w:sz w:val="28"/>
        </w:rPr>
        <w:t xml:space="preserve"> - копия паспорта объекта (системы), на котором (которой) произошла чрезвычайная ситуация или авария (электрическая сеть, трансформаторная подстанция, тепловая сеть, источник тепловой </w:t>
      </w:r>
      <w:r w:rsidR="007742B4" w:rsidRPr="00CD0578">
        <w:rPr>
          <w:sz w:val="28"/>
        </w:rPr>
        <w:t>энергии и</w:t>
      </w:r>
      <w:r w:rsidRPr="00CD0578">
        <w:rPr>
          <w:sz w:val="28"/>
        </w:rPr>
        <w:t xml:space="preserve"> т.п.);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 xml:space="preserve">- акт обследования объекта (системы), на котором (которой) произошла </w:t>
      </w:r>
      <w:r w:rsidR="007742B4" w:rsidRPr="00CD0578">
        <w:rPr>
          <w:sz w:val="28"/>
        </w:rPr>
        <w:t>чрезвычайная ситуация</w:t>
      </w:r>
      <w:r w:rsidRPr="00CD0578">
        <w:rPr>
          <w:sz w:val="28"/>
        </w:rPr>
        <w:t xml:space="preserve"> или авария, согласно приложению;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- расчет потребности необходимого количества материальных ресурсов.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21. В случае возникновения на территории муниципального района чрезвычайной ситуации техногенного характера, расходы по отпуску материальных ресурсов из муниципального резерва возмещаются за счет средств и имущества хозяйствующего субъекта, виновного в возникновении на территории района чрезвычайной ситуации.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22. Муниципальный резерв размещается и хранится отдельно от других материальных ценностей с соблюдением установленных правил и условий хранения.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 xml:space="preserve">23. В случае если произошла чрезвычайная ситуация, создающая угрозу жизни и здоровью людей, предоставление материальных </w:t>
      </w:r>
      <w:r w:rsidR="007742B4" w:rsidRPr="00CD0578">
        <w:rPr>
          <w:sz w:val="28"/>
        </w:rPr>
        <w:t>ресурсов муниципального</w:t>
      </w:r>
      <w:r w:rsidRPr="00CD0578">
        <w:rPr>
          <w:sz w:val="28"/>
        </w:rPr>
        <w:t xml:space="preserve"> резерва осуществляется на основании устного указания главы муниципального района </w:t>
      </w:r>
      <w:r w:rsidR="007742B4" w:rsidRPr="00CD0578">
        <w:rPr>
          <w:sz w:val="28"/>
        </w:rPr>
        <w:t>или заместителя</w:t>
      </w:r>
      <w:r w:rsidRPr="00CD0578">
        <w:rPr>
          <w:sz w:val="28"/>
        </w:rPr>
        <w:t xml:space="preserve"> главы муниципального района, курирующего в соответствии с распределением обязанностей сферу предупреждения и ликвидации чрезвычайных ситуаций, или лица, его замещающего.</w:t>
      </w:r>
    </w:p>
    <w:p w:rsidR="00C64AC0" w:rsidRPr="00CD0578" w:rsidRDefault="007742B4" w:rsidP="00C64AC0">
      <w:pPr>
        <w:ind w:firstLine="709"/>
        <w:jc w:val="both"/>
        <w:rPr>
          <w:sz w:val="28"/>
        </w:rPr>
      </w:pPr>
      <w:r>
        <w:rPr>
          <w:sz w:val="28"/>
        </w:rPr>
        <w:t>Глава сельского</w:t>
      </w:r>
      <w:r w:rsidR="00C64AC0" w:rsidRPr="00CD0578">
        <w:rPr>
          <w:sz w:val="28"/>
        </w:rPr>
        <w:t xml:space="preserve"> поселени</w:t>
      </w:r>
      <w:r>
        <w:rPr>
          <w:sz w:val="28"/>
        </w:rPr>
        <w:t>я</w:t>
      </w:r>
      <w:r w:rsidR="00C64AC0" w:rsidRPr="00CD0578">
        <w:rPr>
          <w:sz w:val="28"/>
        </w:rPr>
        <w:t>, на территории которого произошла чрезвычайная ситуация, в течение одного рабочего дня с момента устранения аварии и ее последствий, обязан оформить заявку в соответствии с требованиями настоящего положения.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lastRenderedPageBreak/>
        <w:t>24. Материальные ресурсы резерва предоставляются с последующим возмещением нового аналога или эквивалента материальных ресурсов, равного количеству и качеству, в сроки, указанные в договоре, оформляемом при их получении в соответствии с законодательством о бухгалтерском учете.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25. Лицо, уполномоченное на получение материальных ресурсов со склада хранителя, должно иметь документы, удостоверяющие личность, а также доверенность на получение этих средств.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 xml:space="preserve">26. Транспортировка со склада </w:t>
      </w:r>
      <w:r w:rsidR="007742B4" w:rsidRPr="00CD0578">
        <w:rPr>
          <w:sz w:val="28"/>
        </w:rPr>
        <w:t>хранителя,</w:t>
      </w:r>
      <w:r w:rsidRPr="00CD0578">
        <w:rPr>
          <w:sz w:val="28"/>
        </w:rPr>
        <w:t xml:space="preserve"> и доставка материальных ресурсов резерва, на место чрезвычайной ситуации, осуществляются за счет средств получателя.</w:t>
      </w:r>
    </w:p>
    <w:p w:rsidR="00C64AC0" w:rsidRPr="00CD0578" w:rsidRDefault="00C64AC0" w:rsidP="00C64AC0">
      <w:pPr>
        <w:tabs>
          <w:tab w:val="left" w:pos="709"/>
        </w:tabs>
        <w:ind w:firstLine="709"/>
        <w:jc w:val="both"/>
        <w:rPr>
          <w:sz w:val="28"/>
        </w:rPr>
      </w:pPr>
      <w:r w:rsidRPr="00CD0578">
        <w:rPr>
          <w:sz w:val="28"/>
        </w:rPr>
        <w:t>27. </w:t>
      </w:r>
      <w:r w:rsidR="007742B4">
        <w:rPr>
          <w:sz w:val="28"/>
        </w:rPr>
        <w:t xml:space="preserve">Главы </w:t>
      </w:r>
      <w:r w:rsidRPr="00CD0578">
        <w:rPr>
          <w:sz w:val="28"/>
        </w:rPr>
        <w:t>сельских поселений и организации, получившие материальные ресурсы резерва, несут ответственность за организацию приема, хранения и целевого использования материальных ресурсов муниципального резерва, доставленных в зону чрезвычайной ситуации или аварии.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28. </w:t>
      </w:r>
      <w:r w:rsidR="007742B4">
        <w:rPr>
          <w:sz w:val="28"/>
        </w:rPr>
        <w:t xml:space="preserve">Главы </w:t>
      </w:r>
      <w:r w:rsidRPr="00CD0578">
        <w:rPr>
          <w:sz w:val="28"/>
        </w:rPr>
        <w:t>сельских поселений, входящие в состав муниципального района «</w:t>
      </w:r>
      <w:r w:rsidR="00A52AEE">
        <w:rPr>
          <w:sz w:val="28"/>
        </w:rPr>
        <w:t>Дульдургинский</w:t>
      </w:r>
      <w:r w:rsidRPr="00CD0578">
        <w:rPr>
          <w:sz w:val="28"/>
        </w:rPr>
        <w:t xml:space="preserve"> район», и организации, получившие технические ресурсы (оборудование) резерва временно используемые для ведения работ по оперативному проведению </w:t>
      </w:r>
      <w:proofErr w:type="spellStart"/>
      <w:r w:rsidRPr="00CD0578">
        <w:rPr>
          <w:sz w:val="28"/>
        </w:rPr>
        <w:t>аварийно</w:t>
      </w:r>
      <w:proofErr w:type="spellEnd"/>
      <w:r w:rsidRPr="00CD0578">
        <w:rPr>
          <w:sz w:val="28"/>
        </w:rPr>
        <w:t xml:space="preserve"> – восстановительных и других неотложных работ, возвращают с момента окончания восстановительных работ технические ресурсы (оборудование) резерва в технически исправном состоянии, подготовленные к длительному хранению.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29. Списание материальных ресурсов муниципального резерва производится на основании акта списания, утвержденного распоряжением администрации муниципального района «</w:t>
      </w:r>
      <w:r w:rsidR="00A52AEE">
        <w:rPr>
          <w:sz w:val="28"/>
        </w:rPr>
        <w:t>Дульдургинский</w:t>
      </w:r>
      <w:r w:rsidRPr="00CD0578">
        <w:rPr>
          <w:sz w:val="28"/>
        </w:rPr>
        <w:t xml:space="preserve"> район».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 xml:space="preserve">30. Акт списания материальных средств муниципального резерва подготавливает </w:t>
      </w:r>
      <w:r w:rsidRPr="001952D5">
        <w:rPr>
          <w:sz w:val="28"/>
        </w:rPr>
        <w:t>МАУ «Ц</w:t>
      </w:r>
      <w:r w:rsidR="00A52AEE">
        <w:rPr>
          <w:sz w:val="28"/>
        </w:rPr>
        <w:t>А</w:t>
      </w:r>
      <w:r w:rsidRPr="001952D5">
        <w:rPr>
          <w:sz w:val="28"/>
        </w:rPr>
        <w:t>МТО</w:t>
      </w:r>
      <w:r>
        <w:rPr>
          <w:sz w:val="28"/>
        </w:rPr>
        <w:t>»</w:t>
      </w:r>
      <w:r w:rsidRPr="001952D5">
        <w:rPr>
          <w:sz w:val="28"/>
        </w:rPr>
        <w:t>.</w:t>
      </w:r>
      <w:r w:rsidRPr="00CD0578">
        <w:rPr>
          <w:sz w:val="28"/>
        </w:rPr>
        <w:t xml:space="preserve"> </w:t>
      </w:r>
    </w:p>
    <w:p w:rsidR="00C64AC0" w:rsidRPr="00CD0578" w:rsidRDefault="00C64AC0" w:rsidP="00C64AC0">
      <w:pPr>
        <w:ind w:firstLine="709"/>
        <w:jc w:val="both"/>
        <w:rPr>
          <w:sz w:val="28"/>
        </w:rPr>
      </w:pPr>
      <w:r w:rsidRPr="00CD0578">
        <w:rPr>
          <w:sz w:val="28"/>
        </w:rPr>
        <w:t>Списанию подлежат следующие материальные ресурсы: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- переданные на безвозмездной основе в соответствии с пунктом 19 настоящего Положения;</w:t>
      </w:r>
    </w:p>
    <w:p w:rsidR="00C64AC0" w:rsidRPr="00CD0578" w:rsidRDefault="00C64AC0" w:rsidP="00C64AC0">
      <w:pPr>
        <w:tabs>
          <w:tab w:val="left" w:pos="851"/>
        </w:tabs>
        <w:ind w:firstLine="709"/>
        <w:jc w:val="both"/>
        <w:rPr>
          <w:sz w:val="28"/>
        </w:rPr>
      </w:pPr>
      <w:r w:rsidRPr="00CD0578">
        <w:rPr>
          <w:sz w:val="28"/>
        </w:rPr>
        <w:t>- пришедшие в негодность в связи с истечением срока годности (эксплуатации), установленного производителем;</w:t>
      </w:r>
    </w:p>
    <w:p w:rsidR="00C64AC0" w:rsidRPr="00CD0578" w:rsidRDefault="00C64AC0" w:rsidP="00C64AC0">
      <w:pPr>
        <w:tabs>
          <w:tab w:val="left" w:pos="851"/>
        </w:tabs>
        <w:ind w:firstLine="709"/>
        <w:jc w:val="center"/>
        <w:rPr>
          <w:sz w:val="28"/>
        </w:rPr>
      </w:pPr>
      <w:r w:rsidRPr="00CD0578">
        <w:rPr>
          <w:sz w:val="28"/>
        </w:rPr>
        <w:t xml:space="preserve">- использованные, </w:t>
      </w:r>
      <w:r w:rsidR="00A52AEE" w:rsidRPr="00CD0578">
        <w:rPr>
          <w:sz w:val="28"/>
        </w:rPr>
        <w:t>которые не</w:t>
      </w:r>
      <w:r w:rsidRPr="00CD0578">
        <w:rPr>
          <w:sz w:val="28"/>
        </w:rPr>
        <w:t xml:space="preserve"> подлежат повторному использованию.</w:t>
      </w:r>
    </w:p>
    <w:p w:rsidR="00C64AC0" w:rsidRPr="00CD0578" w:rsidRDefault="00C64AC0" w:rsidP="00C64AC0">
      <w:pPr>
        <w:tabs>
          <w:tab w:val="left" w:pos="709"/>
        </w:tabs>
        <w:jc w:val="center"/>
        <w:rPr>
          <w:sz w:val="28"/>
        </w:rPr>
      </w:pPr>
      <w:r w:rsidRPr="00CD0578">
        <w:rPr>
          <w:sz w:val="28"/>
        </w:rPr>
        <w:br/>
        <w:t>_________________________</w:t>
      </w:r>
    </w:p>
    <w:p w:rsidR="00C64AC0" w:rsidRPr="00CD0578" w:rsidRDefault="00C64AC0" w:rsidP="00C64AC0">
      <w:pPr>
        <w:jc w:val="both"/>
        <w:rPr>
          <w:sz w:val="28"/>
        </w:rPr>
      </w:pPr>
    </w:p>
    <w:p w:rsidR="00C64AC0" w:rsidRPr="00CD0578" w:rsidRDefault="00C64AC0" w:rsidP="00C64AC0">
      <w:pPr>
        <w:jc w:val="both"/>
      </w:pPr>
      <w:r w:rsidRPr="00CD0578">
        <w:rPr>
          <w:sz w:val="28"/>
        </w:rPr>
        <w:tab/>
      </w:r>
      <w:r w:rsidRPr="00CD0578">
        <w:rPr>
          <w:b/>
          <w:bCs/>
          <w:sz w:val="28"/>
          <w:szCs w:val="28"/>
        </w:rPr>
        <w:t xml:space="preserve"> </w:t>
      </w: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ind w:left="5103"/>
        <w:jc w:val="center"/>
        <w:rPr>
          <w:sz w:val="28"/>
        </w:rPr>
      </w:pPr>
      <w:r w:rsidRPr="00CD0578">
        <w:rPr>
          <w:sz w:val="28"/>
        </w:rPr>
        <w:t>Приложение № 2</w:t>
      </w:r>
    </w:p>
    <w:p w:rsidR="00C64AC0" w:rsidRPr="00CD0578" w:rsidRDefault="00C64AC0" w:rsidP="00C64AC0">
      <w:pPr>
        <w:ind w:left="5103"/>
        <w:jc w:val="center"/>
        <w:rPr>
          <w:sz w:val="28"/>
        </w:rPr>
      </w:pPr>
      <w:r w:rsidRPr="00CD0578">
        <w:rPr>
          <w:sz w:val="28"/>
        </w:rPr>
        <w:t>к постановлению администрации</w:t>
      </w:r>
    </w:p>
    <w:p w:rsidR="00C64AC0" w:rsidRPr="00CD0578" w:rsidRDefault="00C64AC0" w:rsidP="00C64A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D0578">
        <w:rPr>
          <w:color w:val="2D2D2D"/>
          <w:spacing w:val="2"/>
          <w:sz w:val="28"/>
          <w:szCs w:val="28"/>
        </w:rPr>
        <w:t>муниципального района «</w:t>
      </w:r>
      <w:r w:rsidR="00A52AEE">
        <w:rPr>
          <w:color w:val="2D2D2D"/>
          <w:spacing w:val="2"/>
          <w:sz w:val="28"/>
          <w:szCs w:val="28"/>
        </w:rPr>
        <w:t>Дульдургинский</w:t>
      </w:r>
      <w:r w:rsidRPr="00CD0578">
        <w:rPr>
          <w:color w:val="2D2D2D"/>
          <w:spacing w:val="2"/>
          <w:sz w:val="28"/>
          <w:szCs w:val="28"/>
        </w:rPr>
        <w:t xml:space="preserve"> район»</w:t>
      </w:r>
    </w:p>
    <w:p w:rsidR="00C64AC0" w:rsidRPr="00CD0578" w:rsidRDefault="00A52AEE" w:rsidP="00C64A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«_____» июля</w:t>
      </w:r>
      <w:r w:rsidR="00C64AC0" w:rsidRPr="00CD0578">
        <w:rPr>
          <w:color w:val="2D2D2D"/>
          <w:spacing w:val="2"/>
          <w:sz w:val="28"/>
          <w:szCs w:val="28"/>
        </w:rPr>
        <w:t xml:space="preserve"> 202</w:t>
      </w:r>
      <w:r>
        <w:rPr>
          <w:color w:val="2D2D2D"/>
          <w:spacing w:val="2"/>
          <w:sz w:val="28"/>
          <w:szCs w:val="28"/>
        </w:rPr>
        <w:t>4</w:t>
      </w:r>
      <w:r w:rsidR="00C64AC0" w:rsidRPr="00CD0578">
        <w:rPr>
          <w:color w:val="2D2D2D"/>
          <w:spacing w:val="2"/>
          <w:sz w:val="28"/>
          <w:szCs w:val="28"/>
        </w:rPr>
        <w:t xml:space="preserve"> № ______</w:t>
      </w:r>
    </w:p>
    <w:p w:rsidR="00C64AC0" w:rsidRPr="00CD0578" w:rsidRDefault="00C64AC0" w:rsidP="00C64AC0">
      <w:pPr>
        <w:rPr>
          <w:sz w:val="28"/>
        </w:rPr>
      </w:pPr>
    </w:p>
    <w:p w:rsidR="00C64AC0" w:rsidRPr="00CD0578" w:rsidRDefault="00C64AC0" w:rsidP="00C64AC0">
      <w:pPr>
        <w:rPr>
          <w:sz w:val="28"/>
        </w:rPr>
      </w:pPr>
    </w:p>
    <w:p w:rsidR="00C64AC0" w:rsidRPr="00CD0578" w:rsidRDefault="00A52AEE" w:rsidP="00C64AC0">
      <w:pPr>
        <w:jc w:val="center"/>
        <w:rPr>
          <w:b/>
          <w:sz w:val="28"/>
          <w:szCs w:val="28"/>
        </w:rPr>
      </w:pPr>
      <w:r w:rsidRPr="00CD0578">
        <w:rPr>
          <w:b/>
          <w:sz w:val="28"/>
        </w:rPr>
        <w:t>Номенклатура и</w:t>
      </w:r>
      <w:r w:rsidR="00C64AC0" w:rsidRPr="00CD0578">
        <w:rPr>
          <w:b/>
          <w:sz w:val="28"/>
        </w:rPr>
        <w:t xml:space="preserve"> объемы резерва материальных ресурсов для ликвидации чрезвычайных ситуаций в муниципальном районе «</w:t>
      </w:r>
      <w:r>
        <w:rPr>
          <w:b/>
          <w:sz w:val="28"/>
        </w:rPr>
        <w:t>Дульдургинский</w:t>
      </w:r>
      <w:r w:rsidR="00C64AC0" w:rsidRPr="00CD0578">
        <w:rPr>
          <w:b/>
          <w:sz w:val="28"/>
        </w:rPr>
        <w:t xml:space="preserve"> район» </w:t>
      </w:r>
    </w:p>
    <w:p w:rsidR="00C64AC0" w:rsidRPr="00CD0578" w:rsidRDefault="00C64AC0" w:rsidP="00C64AC0">
      <w:pPr>
        <w:jc w:val="both"/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7"/>
        <w:gridCol w:w="41"/>
        <w:gridCol w:w="5137"/>
        <w:gridCol w:w="1417"/>
        <w:gridCol w:w="1985"/>
        <w:gridCol w:w="10"/>
      </w:tblGrid>
      <w:tr w:rsidR="00C64AC0" w:rsidRPr="00CD0578" w:rsidTr="00F7434F">
        <w:trPr>
          <w:gridAfter w:val="1"/>
          <w:wAfter w:w="10" w:type="dxa"/>
          <w:trHeight w:val="330"/>
        </w:trPr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:rsidR="00C64AC0" w:rsidRPr="00CD0578" w:rsidRDefault="00C64AC0" w:rsidP="00F7434F">
            <w:r w:rsidRPr="00CD0578">
              <w:t>№ п/п</w:t>
            </w:r>
          </w:p>
        </w:tc>
        <w:tc>
          <w:tcPr>
            <w:tcW w:w="5178" w:type="dxa"/>
            <w:gridSpan w:val="2"/>
            <w:shd w:val="clear" w:color="auto" w:fill="auto"/>
            <w:vAlign w:val="bottom"/>
            <w:hideMark/>
          </w:tcPr>
          <w:p w:rsidR="00C64AC0" w:rsidRPr="00CD0578" w:rsidRDefault="00C64AC0" w:rsidP="00F7434F">
            <w:r w:rsidRPr="00CD0578">
              <w:t>Наименование материальных ресурсов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4AC0" w:rsidRPr="00CD0578" w:rsidRDefault="00C64AC0" w:rsidP="00F7434F">
            <w:r w:rsidRPr="00CD0578">
              <w:t>Единица измерения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64AC0" w:rsidRPr="00CD0578" w:rsidRDefault="00C64AC0" w:rsidP="00F7434F">
            <w:r w:rsidRPr="00CD0578">
              <w:t>Количество</w:t>
            </w:r>
          </w:p>
        </w:tc>
      </w:tr>
      <w:tr w:rsidR="00C64AC0" w:rsidRPr="00CD0578" w:rsidTr="00F7434F">
        <w:trPr>
          <w:trHeight w:val="330"/>
        </w:trPr>
        <w:tc>
          <w:tcPr>
            <w:tcW w:w="9366" w:type="dxa"/>
            <w:gridSpan w:val="7"/>
            <w:shd w:val="clear" w:color="auto" w:fill="auto"/>
            <w:noWrap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 xml:space="preserve">1. </w:t>
            </w:r>
            <w:r w:rsidRPr="00CD0578">
              <w:rPr>
                <w:b/>
              </w:rPr>
              <w:t>Продовольствие.</w:t>
            </w:r>
          </w:p>
        </w:tc>
      </w:tr>
      <w:tr w:rsidR="00C64AC0" w:rsidRPr="00CD0578" w:rsidTr="00F7434F">
        <w:trPr>
          <w:gridAfter w:val="1"/>
          <w:wAfter w:w="10" w:type="dxa"/>
          <w:trHeight w:val="382"/>
        </w:trPr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1.1.</w:t>
            </w:r>
          </w:p>
        </w:tc>
        <w:tc>
          <w:tcPr>
            <w:tcW w:w="5178" w:type="dxa"/>
            <w:gridSpan w:val="2"/>
            <w:shd w:val="clear" w:color="auto" w:fill="auto"/>
            <w:vAlign w:val="bottom"/>
            <w:hideMark/>
          </w:tcPr>
          <w:p w:rsidR="00C64AC0" w:rsidRPr="00CD0578" w:rsidRDefault="00A52AEE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Сухие пайки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комплектов.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20</w:t>
            </w:r>
          </w:p>
        </w:tc>
      </w:tr>
      <w:tr w:rsidR="00C64AC0" w:rsidRPr="00CD0578" w:rsidTr="00F7434F">
        <w:trPr>
          <w:gridAfter w:val="1"/>
          <w:wAfter w:w="10" w:type="dxa"/>
          <w:trHeight w:val="33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rPr>
                <w:b/>
                <w:bCs/>
              </w:rPr>
              <w:t>2. Вещевое имущество и предметы первой необходимости.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ind w:firstLineChars="14" w:firstLine="34"/>
              <w:jc w:val="center"/>
            </w:pPr>
            <w:r w:rsidRPr="00CD0578">
              <w:t>2.1.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Кровати раскладные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>
              <w:t>5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2.2.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Одеяла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>
              <w:t>5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2.3.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t>Масленые обогреватели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>
              <w:t>1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2.4.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t>Палатки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5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2.5.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t>Набор полевой складной мебели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1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2.6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t>Посуда металлическая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>
              <w:t>10</w:t>
            </w:r>
            <w:r w:rsidRPr="00CD0578">
              <w:t>0</w:t>
            </w:r>
          </w:p>
        </w:tc>
      </w:tr>
      <w:tr w:rsidR="00C64AC0" w:rsidRPr="00CD0578" w:rsidTr="00F7434F">
        <w:trPr>
          <w:gridAfter w:val="1"/>
          <w:wAfter w:w="10" w:type="dxa"/>
          <w:trHeight w:val="33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rPr>
                <w:b/>
                <w:bCs/>
              </w:rPr>
              <w:t>3. Строительные, ремонтные материалы и специальное оборудование.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3.1.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t>Тепловая пушка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1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3.2.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64AC0" w:rsidRPr="00CD0578" w:rsidRDefault="00C64AC0" w:rsidP="00F7434F">
            <w:r w:rsidRPr="00CD0578">
              <w:t>Электростанции передвижные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64AC0" w:rsidRPr="00CD0578" w:rsidRDefault="00C64AC0" w:rsidP="00F7434F">
            <w:pPr>
              <w:jc w:val="center"/>
            </w:pPr>
            <w:r>
              <w:t>1</w:t>
            </w:r>
          </w:p>
        </w:tc>
      </w:tr>
      <w:tr w:rsidR="00C64AC0" w:rsidRPr="00CD0578" w:rsidTr="00F7434F">
        <w:trPr>
          <w:gridAfter w:val="1"/>
          <w:wAfter w:w="10" w:type="dxa"/>
          <w:trHeight w:val="345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rPr>
                <w:b/>
                <w:bCs/>
              </w:rPr>
              <w:t>4. Медикаменты, медицинское имущество.</w:t>
            </w:r>
          </w:p>
        </w:tc>
      </w:tr>
      <w:tr w:rsidR="00C64AC0" w:rsidRPr="00CD0578" w:rsidTr="00F7434F">
        <w:trPr>
          <w:gridAfter w:val="1"/>
          <w:wAfter w:w="10" w:type="dxa"/>
          <w:trHeight w:val="357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4.1.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Аптечка медицинская (для оказания первой помощи)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шт.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jc w:val="center"/>
            </w:pPr>
            <w:r>
              <w:t>10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rPr>
                <w:b/>
              </w:rPr>
            </w:pPr>
            <w:r w:rsidRPr="00CD0578">
              <w:rPr>
                <w:b/>
                <w:color w:val="000000"/>
                <w:lang w:bidi="ru-RU"/>
              </w:rPr>
              <w:t>5. Нефтепродукты</w:t>
            </w:r>
          </w:p>
        </w:tc>
      </w:tr>
      <w:tr w:rsidR="00C64AC0" w:rsidRPr="00CD0578" w:rsidTr="00F7434F">
        <w:trPr>
          <w:gridAfter w:val="1"/>
          <w:wAfter w:w="10" w:type="dxa"/>
          <w:trHeight w:val="246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5.1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Автомобильный бензин АИ-92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тонн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0,5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5.2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Дизельное топливо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sz w:val="28"/>
              </w:rPr>
            </w:pPr>
            <w:r w:rsidRPr="00CD0578">
              <w:rPr>
                <w:color w:val="000000"/>
                <w:lang w:bidi="ru-RU"/>
              </w:rPr>
              <w:t>тонн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0,5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  <w:rPr>
                <w:color w:val="000000"/>
              </w:rPr>
            </w:pPr>
            <w:r w:rsidRPr="00CD0578">
              <w:rPr>
                <w:color w:val="000000"/>
              </w:rPr>
              <w:t>5.3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color w:val="000000"/>
                <w:sz w:val="28"/>
              </w:rPr>
            </w:pPr>
            <w:r w:rsidRPr="00CD0578">
              <w:rPr>
                <w:color w:val="000000"/>
                <w:lang w:bidi="ru-RU"/>
              </w:rPr>
              <w:t>Масла и смазки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color w:val="000000"/>
                <w:sz w:val="28"/>
              </w:rPr>
            </w:pPr>
            <w:r w:rsidRPr="00CD0578">
              <w:rPr>
                <w:color w:val="000000"/>
                <w:lang w:bidi="ru-RU"/>
              </w:rPr>
              <w:t>тонн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  <w:rPr>
                <w:color w:val="000000"/>
              </w:rPr>
            </w:pPr>
            <w:r w:rsidRPr="00CD0578">
              <w:rPr>
                <w:color w:val="000000"/>
              </w:rPr>
              <w:t>0,02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r w:rsidRPr="00CD0578">
              <w:rPr>
                <w:b/>
                <w:color w:val="000000"/>
                <w:lang w:bidi="ru-RU"/>
              </w:rPr>
              <w:t>6. Другие ресурсы</w:t>
            </w:r>
          </w:p>
        </w:tc>
      </w:tr>
      <w:tr w:rsidR="00C64AC0" w:rsidRPr="00CD0578" w:rsidTr="00F7434F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1.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spacing w:line="240" w:lineRule="exact"/>
              <w:rPr>
                <w:color w:val="000000"/>
                <w:lang w:bidi="ru-RU"/>
              </w:rPr>
            </w:pPr>
            <w:r w:rsidRPr="00CD0578">
              <w:rPr>
                <w:color w:val="000000"/>
                <w:lang w:bidi="ru-RU"/>
              </w:rPr>
              <w:t xml:space="preserve">Пламегаситель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color w:val="000000"/>
                <w:lang w:bidi="ru-RU"/>
              </w:rPr>
            </w:pPr>
            <w:r w:rsidRPr="00CD0578">
              <w:rPr>
                <w:color w:val="000000"/>
                <w:lang w:bidi="ru-RU"/>
              </w:rPr>
              <w:t>шт.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64AC0" w:rsidP="00F7434F">
            <w:pPr>
              <w:jc w:val="center"/>
            </w:pPr>
            <w:r w:rsidRPr="00CD0578">
              <w:t>1</w:t>
            </w:r>
          </w:p>
        </w:tc>
      </w:tr>
      <w:tr w:rsidR="00C64AC0" w:rsidRPr="00CD0578" w:rsidTr="00B50852">
        <w:trPr>
          <w:gridAfter w:val="1"/>
          <w:wAfter w:w="10" w:type="dxa"/>
          <w:trHeight w:val="375"/>
        </w:trPr>
        <w:tc>
          <w:tcPr>
            <w:tcW w:w="817" w:type="dxa"/>
            <w:gridSpan w:val="3"/>
            <w:shd w:val="clear" w:color="auto" w:fill="auto"/>
            <w:noWrap/>
            <w:vAlign w:val="bottom"/>
            <w:hideMark/>
          </w:tcPr>
          <w:p w:rsidR="00C64AC0" w:rsidRPr="00CD0578" w:rsidRDefault="00C24E66" w:rsidP="00F7434F">
            <w:pPr>
              <w:jc w:val="center"/>
            </w:pPr>
            <w:r>
              <w:t>2.</w:t>
            </w:r>
          </w:p>
        </w:tc>
        <w:tc>
          <w:tcPr>
            <w:tcW w:w="5137" w:type="dxa"/>
            <w:shd w:val="clear" w:color="auto" w:fill="auto"/>
            <w:noWrap/>
            <w:vAlign w:val="bottom"/>
          </w:tcPr>
          <w:p w:rsidR="00C64AC0" w:rsidRPr="00CD0578" w:rsidRDefault="00C24E66" w:rsidP="00F7434F">
            <w:pPr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Мешок для строительного мусора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4AC0" w:rsidRPr="00CD0578" w:rsidRDefault="00C64AC0" w:rsidP="00F7434F">
            <w:pPr>
              <w:spacing w:line="24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AC0" w:rsidRPr="00CD0578" w:rsidRDefault="00C24E66" w:rsidP="00F7434F">
            <w:pPr>
              <w:jc w:val="center"/>
            </w:pPr>
            <w:r>
              <w:t>2</w:t>
            </w:r>
            <w:bookmarkStart w:id="0" w:name="_GoBack"/>
            <w:bookmarkEnd w:id="0"/>
            <w:r>
              <w:t>00</w:t>
            </w:r>
          </w:p>
        </w:tc>
      </w:tr>
    </w:tbl>
    <w:p w:rsidR="00C64AC0" w:rsidRPr="00CD0578" w:rsidRDefault="00C64AC0" w:rsidP="00C64AC0">
      <w:pPr>
        <w:jc w:val="center"/>
        <w:rPr>
          <w:sz w:val="28"/>
          <w:szCs w:val="28"/>
        </w:rPr>
      </w:pPr>
    </w:p>
    <w:p w:rsidR="00C64AC0" w:rsidRPr="00CD0578" w:rsidRDefault="00C64AC0" w:rsidP="00C64AC0">
      <w:pPr>
        <w:ind w:firstLine="150"/>
        <w:jc w:val="both"/>
        <w:rPr>
          <w:color w:val="494949"/>
          <w:sz w:val="28"/>
          <w:szCs w:val="28"/>
        </w:rPr>
      </w:pPr>
    </w:p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2FE1"/>
    <w:multiLevelType w:val="hybridMultilevel"/>
    <w:tmpl w:val="E8024F74"/>
    <w:lvl w:ilvl="0" w:tplc="5598283C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EB"/>
    <w:rsid w:val="000C5B9E"/>
    <w:rsid w:val="00147163"/>
    <w:rsid w:val="003C1CB1"/>
    <w:rsid w:val="004728EB"/>
    <w:rsid w:val="007742B4"/>
    <w:rsid w:val="00A52AEE"/>
    <w:rsid w:val="00B50852"/>
    <w:rsid w:val="00C24E66"/>
    <w:rsid w:val="00C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E0F8-57AE-4737-B1EF-F516E73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"/>
    <w:basedOn w:val="a"/>
    <w:link w:val="a5"/>
    <w:rsid w:val="00C64AC0"/>
    <w:pPr>
      <w:jc w:val="center"/>
    </w:pPr>
    <w:rPr>
      <w:b/>
      <w:sz w:val="44"/>
    </w:rPr>
  </w:style>
  <w:style w:type="character" w:customStyle="1" w:styleId="a5">
    <w:name w:val="Основной текст Знак"/>
    <w:basedOn w:val="a0"/>
    <w:link w:val="a4"/>
    <w:rsid w:val="00C64AC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C64A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C64A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2024-06-20T09:48:00Z</dcterms:created>
  <dcterms:modified xsi:type="dcterms:W3CDTF">2024-07-02T08:52:00Z</dcterms:modified>
</cp:coreProperties>
</file>