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71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771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rPr>
          <w:rFonts w:ascii="Liberation Serif" w:hAnsi="Liberation Serif" w:cs="Liberation Serif"/>
          <w:i w:val="0"/>
          <w:iCs w:val="0"/>
          <w:sz w:val="28"/>
          <w:szCs w:val="28"/>
        </w:rPr>
      </w:pPr>
      <w:r>
        <w:rPr>
          <w:rFonts w:ascii="Liberation Serif" w:hAnsi="Liberation Serif" w:eastAsia="Liberation Serif" w:cs="Liberation Serif"/>
          <w:i w:val="0"/>
          <w:iCs w:val="0"/>
          <w:sz w:val="28"/>
          <w:szCs w:val="28"/>
        </w:rPr>
        <w:t xml:space="preserve">Онлайн-сервис </w:t>
      </w:r>
      <w:r>
        <w:rPr>
          <w:rFonts w:ascii="Liberation Serif" w:hAnsi="Liberation Serif" w:eastAsia="Liberation Serif" w:cs="Liberation Serif"/>
          <w:i w:val="0"/>
          <w:iCs w:val="0"/>
          <w:sz w:val="28"/>
          <w:szCs w:val="28"/>
        </w:rPr>
        <w:t xml:space="preserve">поможет выявить возможные нарушения в землепользовании</w:t>
      </w:r>
      <w:r>
        <w:rPr>
          <w:rFonts w:ascii="Liberation Serif" w:hAnsi="Liberation Serif" w:cs="Liberation Serif"/>
          <w:i w:val="0"/>
          <w:iCs w:val="0"/>
          <w:sz w:val="28"/>
          <w:szCs w:val="28"/>
        </w:rPr>
      </w:r>
    </w:p>
    <w:p>
      <w:pPr>
        <w:ind w:left="0" w:right="0" w:firstLine="567"/>
        <w:jc w:val="both"/>
        <w:spacing w:after="0" w:line="240" w:lineRule="auto"/>
        <w:rPr>
          <w:rStyle w:val="780"/>
          <w:rFonts w:ascii="Liberation Serif" w:hAnsi="Liberation Serif" w:cs="Liberation Serif"/>
          <w:b w:val="0"/>
          <w:i w:val="0"/>
          <w:iCs w:val="0"/>
          <w:sz w:val="28"/>
          <w:szCs w:val="28"/>
        </w:rPr>
      </w:pPr>
      <w:r>
        <w:rPr>
          <w:rFonts w:ascii="Liberation Serif" w:hAnsi="Liberation Serif" w:eastAsia="Liberation Serif" w:cs="Liberation Serif"/>
          <w:b w:val="0"/>
          <w:i w:val="0"/>
          <w:iCs w:val="0"/>
          <w:sz w:val="28"/>
          <w:szCs w:val="28"/>
        </w:rPr>
      </w:r>
      <w:r>
        <w:rPr>
          <w:rStyle w:val="780"/>
          <w:rFonts w:ascii="Liberation Serif" w:hAnsi="Liberation Serif" w:cs="Liberation Serif"/>
          <w:b w:val="0"/>
          <w:i w:val="0"/>
          <w:iCs w:val="0"/>
          <w:sz w:val="28"/>
          <w:szCs w:val="28"/>
        </w:rPr>
      </w:r>
    </w:p>
    <w:p>
      <w:pPr>
        <w:pStyle w:val="785"/>
        <w:ind w:left="0" w:right="0" w:firstLine="567"/>
        <w:jc w:val="both"/>
        <w:spacing w:line="276" w:lineRule="auto"/>
        <w:rPr>
          <w:rFonts w:ascii="Liberation Serif" w:hAnsi="Liberation Serif" w:cs="Liberation Serif"/>
          <w:i w:val="0"/>
          <w:iCs w:val="0"/>
          <w:sz w:val="28"/>
          <w:szCs w:val="28"/>
        </w:rPr>
      </w:pPr>
      <w:r>
        <w:rPr>
          <w:rStyle w:val="780"/>
          <w:rFonts w:ascii="Liberation Serif" w:hAnsi="Liberation Serif" w:eastAsia="Liberation Serif" w:cs="Liberation Serif"/>
          <w:b w:val="0"/>
          <w:i w:val="0"/>
          <w:iCs w:val="0"/>
          <w:sz w:val="28"/>
          <w:szCs w:val="28"/>
        </w:rPr>
        <w:t xml:space="preserve">На официальном сайте </w:t>
      </w:r>
      <w:r>
        <w:rPr>
          <w:rStyle w:val="780"/>
          <w:rFonts w:ascii="Liberation Serif" w:hAnsi="Liberation Serif" w:eastAsia="Liberation Serif" w:cs="Liberation Serif"/>
          <w:b w:val="0"/>
          <w:i w:val="0"/>
          <w:iCs w:val="0"/>
          <w:sz w:val="28"/>
          <w:szCs w:val="28"/>
        </w:rPr>
        <w:t xml:space="preserve">Росреестра</w:t>
      </w:r>
      <w:r>
        <w:rPr>
          <w:rStyle w:val="780"/>
          <w:rFonts w:ascii="Liberation Serif" w:hAnsi="Liberation Serif" w:eastAsia="Liberation Serif" w:cs="Liberation Serif"/>
          <w:b w:val="0"/>
          <w:i w:val="0"/>
          <w:iCs w:val="0"/>
          <w:sz w:val="28"/>
          <w:szCs w:val="28"/>
        </w:rPr>
        <w:t xml:space="preserve"> размещен </w:t>
      </w:r>
      <w:r>
        <w:rPr>
          <w:rFonts w:ascii="Liberation Serif" w:hAnsi="Liberation Serif" w:eastAsia="Liberation Serif" w:cs="Liberation Serif"/>
          <w:i w:val="0"/>
          <w:iCs w:val="0"/>
          <w:sz w:val="28"/>
          <w:szCs w:val="28"/>
        </w:rPr>
        <w:t xml:space="preserve">сервис для самостоятельной оценки соблюдения обязательных требований, предназначенных для правообладателей земельных участков и землепользователей. </w:t>
      </w:r>
      <w:r>
        <w:rPr>
          <w:rFonts w:ascii="Liberation Serif" w:hAnsi="Liberation Serif" w:cs="Liberation Serif"/>
          <w:i w:val="0"/>
          <w:iCs w:val="0"/>
          <w:sz w:val="28"/>
          <w:szCs w:val="28"/>
        </w:rPr>
      </w:r>
    </w:p>
    <w:p>
      <w:pPr>
        <w:pStyle w:val="785"/>
        <w:ind w:left="0" w:right="0" w:firstLine="567"/>
        <w:spacing w:line="276" w:lineRule="auto"/>
        <w:rPr>
          <w:rFonts w:ascii="Liberation Serif" w:hAnsi="Liberation Serif" w:cs="Liberation Serif"/>
          <w:bCs w:val="0"/>
          <w:i w:val="0"/>
          <w:sz w:val="28"/>
          <w:szCs w:val="28"/>
        </w:rPr>
      </w:pPr>
      <w:r>
        <w:rPr>
          <w:rFonts w:ascii="Liberation Serif" w:hAnsi="Liberation Serif" w:eastAsia="Liberation Serif" w:cs="Liberation Serif"/>
          <w:i w:val="0"/>
          <w:iCs w:val="0"/>
          <w:sz w:val="28"/>
          <w:szCs w:val="28"/>
        </w:rPr>
      </w:r>
      <w:r>
        <w:rPr>
          <w:rFonts w:ascii="Liberation Serif" w:hAnsi="Liberation Serif" w:eastAsia="Liberation Serif" w:cs="Liberation Serif"/>
          <w:i w:val="0"/>
          <w:iCs w:val="0"/>
          <w:sz w:val="28"/>
          <w:szCs w:val="28"/>
        </w:rPr>
      </w:r>
    </w:p>
    <w:p>
      <w:pPr>
        <w:pStyle w:val="771"/>
        <w:ind w:left="0" w:right="0" w:firstLine="567"/>
        <w:jc w:val="both"/>
        <w:rPr>
          <w:rFonts w:ascii="Liberation Serif" w:hAnsi="Liberation Serif" w:cs="Liberation Serif"/>
          <w:color w:val="auto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  <w:t xml:space="preserve">Сервис самообследования земельных участков - это информационный сервис, целью которого является проинформировать землепользователей о возможных нарушениях и предотвратить их совершение.</w:t>
      </w:r>
      <w:r>
        <w:rPr>
          <w:rFonts w:ascii="Liberation Serif" w:hAnsi="Liberation Serif" w:eastAsia="Liberation Serif" w:cs="Liberation Serif"/>
          <w:i w:val="0"/>
          <w:iCs w:val="0"/>
          <w:sz w:val="28"/>
          <w:szCs w:val="28"/>
        </w:rPr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</w:r>
    </w:p>
    <w:p>
      <w:pPr>
        <w:pStyle w:val="771"/>
        <w:ind w:left="0" w:right="0" w:firstLine="567"/>
        <w:jc w:val="both"/>
        <w:rPr>
          <w:rFonts w:ascii="Liberation Serif" w:hAnsi="Liberation Serif" w:cs="Liberation Serif"/>
          <w:bCs w:val="0"/>
          <w:i w:val="0"/>
          <w:color w:val="auto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none"/>
        </w:rPr>
      </w:r>
    </w:p>
    <w:p>
      <w:pPr>
        <w:pStyle w:val="771"/>
        <w:ind w:left="0" w:right="0" w:firstLine="567"/>
        <w:jc w:val="both"/>
        <w:rPr>
          <w:rFonts w:ascii="Liberation Serif" w:hAnsi="Liberation Serif" w:eastAsia="Liberation Serif" w:cs="Liberation Serif"/>
          <w:i w:val="0"/>
          <w:color w:val="auto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i w:val="0"/>
          <w:iCs w:val="0"/>
          <w:sz w:val="28"/>
          <w:szCs w:val="28"/>
        </w:rPr>
        <w:t xml:space="preserve">Возможность прохождения самообследования обеспечивается в подразделе «Самостоятельная оценка соблюдения обязательных требований» официального сайта Росреестра, </w:t>
      </w:r>
      <w:r>
        <w:rPr>
          <w:rFonts w:ascii="Liberation Serif" w:hAnsi="Liberation Serif" w:eastAsia="Liberation Serif" w:cs="Liberation Serif"/>
          <w:i w:val="0"/>
          <w:iCs w:val="0"/>
          <w:sz w:val="28"/>
          <w:szCs w:val="28"/>
        </w:rPr>
        <w:t xml:space="preserve">расположенном в разделе «Деятельность – Государственный надзор – Государственный земельный надзор, адрес сайта в сети «Интернет»: </w:t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  <w:t xml:space="preserve">https://rosreestr.gov.ru/activity/gosudarstvennyy-nadzor/gosudarstvennyy-zemelnyy-kontrol-nadzor/samostoyatelnaya-otsenka-soblyudeniya-obyazatelnykh-trebovaniy/</w:t>
      </w:r>
      <w:r>
        <w:rPr>
          <w:rFonts w:ascii="Liberation Serif" w:hAnsi="Liberation Serif" w:eastAsia="Liberation Serif" w:cs="Liberation Serif"/>
          <w:i w:val="0"/>
          <w:iCs w:val="0"/>
          <w:sz w:val="28"/>
          <w:szCs w:val="28"/>
        </w:rPr>
        <w:t xml:space="preserve">, а также разделе «Мои объекты» в «Личном кабинете» официального сайта Росреестра (для лиц, авторизо</w:t>
      </w:r>
      <w:r>
        <w:rPr>
          <w:rFonts w:ascii="Liberation Serif" w:hAnsi="Liberation Serif" w:eastAsia="Liberation Serif" w:cs="Liberation Serif"/>
          <w:i w:val="0"/>
          <w:iCs w:val="0"/>
          <w:sz w:val="28"/>
          <w:szCs w:val="28"/>
        </w:rPr>
        <w:t xml:space="preserve">вавшихся в нем). </w:t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  <w:t xml:space="preserve">Для этого в разделе «Мои объекты недвижимости» нужно выделить интересующий земельный участок и, щелкнув правой кнопкой мыши,</w:t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  <w:t xml:space="preserve"> выбрать сервис самообследования. Далее следует ответить на ряд предложенных вопросов об использовании земельного участка.</w:t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</w:r>
    </w:p>
    <w:p>
      <w:pPr>
        <w:pStyle w:val="771"/>
        <w:ind w:left="0" w:right="0" w:firstLine="567"/>
        <w:jc w:val="both"/>
        <w:rPr>
          <w:rFonts w:ascii="Liberation Serif" w:hAnsi="Liberation Serif" w:cs="Liberation Serif"/>
          <w:bCs w:val="0"/>
          <w:i w:val="0"/>
          <w:color w:val="auto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none"/>
        </w:rPr>
      </w:r>
    </w:p>
    <w:p>
      <w:pPr>
        <w:pStyle w:val="771"/>
        <w:ind w:left="0" w:right="0" w:firstLine="567"/>
        <w:jc w:val="both"/>
        <w:rPr>
          <w:rFonts w:ascii="Liberation Serif" w:hAnsi="Liberation Serif" w:eastAsia="Liberation Serif" w:cs="Liberation Serif"/>
          <w:i w:val="0"/>
          <w:color w:val="auto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  <w:t xml:space="preserve">На некоторые вопросы, касающиеся характеристик участка, сервис предлагает подсказки на основании сведений из ЕГР</w:t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  <w:t xml:space="preserve">Н. К примеру, могут быть вопросы о том, использует ли правообладатель земельный участок, предназначен ли участок для жилищного строительства, внесены ли в ЕГРН сведения о праве собственности и т.д. После ответа на все вопросы будет сформирован ответ.</w:t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</w:r>
    </w:p>
    <w:p>
      <w:pPr>
        <w:pStyle w:val="771"/>
        <w:ind w:left="0" w:right="0" w:firstLine="567"/>
        <w:jc w:val="both"/>
        <w:rPr>
          <w:rFonts w:ascii="Liberation Serif" w:hAnsi="Liberation Serif" w:cs="Liberation Serif"/>
          <w:bCs w:val="0"/>
          <w:i w:val="0"/>
          <w:color w:val="auto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none"/>
        </w:rPr>
      </w:r>
    </w:p>
    <w:p>
      <w:pPr>
        <w:pStyle w:val="771"/>
        <w:ind w:left="0" w:right="0" w:firstLine="567"/>
        <w:jc w:val="both"/>
        <w:rPr>
          <w:rFonts w:ascii="Liberation Serif" w:hAnsi="Liberation Serif" w:eastAsia="Liberation Serif" w:cs="Liberation Serif"/>
          <w:i w:val="0"/>
          <w:color w:val="auto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  <w:t xml:space="preserve">В</w:t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  <w:t xml:space="preserve"> зависимости от полученных ответов система по заданному алгоритму выбирает один из двух вариантов: нарушений нет или возможно наличие нарушений. В случае, если сервисом нарушений не выявлено, выдается сообщение</w:t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  <w:t xml:space="preserve"> о том, что нарушений нет. А в случае выявления возможного нарушения выдаются рекомендации по устранению, например, обратиться за помощью в ППК «Роскадастр» или зарегистрировать право собственности.</w:t>
        <w:br/>
        <w:tab/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none"/>
        </w:rPr>
      </w:r>
    </w:p>
    <w:p>
      <w:pPr>
        <w:pStyle w:val="771"/>
        <w:ind w:left="0" w:right="0" w:firstLine="567"/>
        <w:jc w:val="both"/>
        <w:rPr>
          <w:rFonts w:ascii="Liberation Serif" w:hAnsi="Liberation Serif" w:eastAsia="Liberation Serif" w:cs="Liberation Serif"/>
          <w:bCs w:val="0"/>
          <w:i w:val="0"/>
          <w:color w:val="auto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  <w:t xml:space="preserve">Важно отметить, что данный сервис не выявляет нарушения земельного законодательства. Информация о результатах ответов на вопросы не передается сотрудникам Росреестра и не используется в рамках государственного земельного контроля (надзора).</w:t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none"/>
        </w:rPr>
      </w:r>
      <w:r/>
    </w:p>
    <w:p>
      <w:pPr>
        <w:pStyle w:val="785"/>
        <w:ind w:left="0" w:right="0" w:firstLine="567"/>
        <w:jc w:val="both"/>
        <w:spacing w:line="276" w:lineRule="auto"/>
        <w:rPr>
          <w:rFonts w:ascii="Liberation Serif" w:hAnsi="Liberation Serif" w:cs="Liberation Serif"/>
          <w:bCs w:val="0"/>
          <w:i w:val="0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i w:val="0"/>
          <w:iCs w:val="0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i w:val="0"/>
          <w:iCs w:val="0"/>
          <w:sz w:val="28"/>
          <w:szCs w:val="28"/>
          <w:highlight w:val="none"/>
        </w:rPr>
      </w:r>
    </w:p>
    <w:p>
      <w:pPr>
        <w:pStyle w:val="785"/>
        <w:ind w:left="0" w:right="0" w:firstLine="567"/>
        <w:jc w:val="both"/>
        <w:spacing w:line="276" w:lineRule="auto"/>
        <w:rPr>
          <w:rFonts w:ascii="Liberation Serif" w:hAnsi="Liberation Serif" w:eastAsia="Liberation Serif" w:cs="Liberation Serif"/>
          <w:i w:val="0"/>
          <w:color w:val="auto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  <w:t xml:space="preserve">На сайте Росреестра в разделе «Самостоятельная оценка соблюдения обязательных требований» размещены методические рекомендации по использованию сервиса.</w:t>
      </w:r>
      <w:r>
        <w:rPr>
          <w:rFonts w:ascii="Liberation Serif" w:hAnsi="Liberation Serif" w:eastAsia="Liberation Serif" w:cs="Liberation Serif"/>
          <w:i w:val="0"/>
          <w:iCs w:val="0"/>
          <w:sz w:val="28"/>
          <w:szCs w:val="28"/>
          <w:highlight w:val="none"/>
        </w:rPr>
      </w:r>
    </w:p>
    <w:p>
      <w:pPr>
        <w:pStyle w:val="785"/>
        <w:ind w:left="0" w:right="0" w:firstLine="567"/>
        <w:jc w:val="both"/>
        <w:spacing w:line="276" w:lineRule="auto"/>
        <w:rPr>
          <w:rFonts w:ascii="Liberation Serif" w:hAnsi="Liberation Serif" w:eastAsia="Liberation Serif" w:cs="Liberation Serif"/>
          <w:bCs w:val="0"/>
          <w:i w:val="0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i w:val="0"/>
          <w:iCs w:val="0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i w:val="0"/>
          <w:iCs w:val="0"/>
          <w:sz w:val="28"/>
          <w:szCs w:val="28"/>
          <w:highlight w:val="none"/>
        </w:rPr>
      </w:r>
    </w:p>
    <w:p>
      <w:pPr>
        <w:pStyle w:val="785"/>
        <w:ind w:left="0" w:right="0" w:firstLine="567"/>
        <w:jc w:val="both"/>
        <w:spacing w:line="276" w:lineRule="auto"/>
        <w:rPr>
          <w:rFonts w:ascii="Liberation Serif" w:hAnsi="Liberation Serif" w:eastAsia="Liberation Serif" w:cs="Liberation Serif"/>
          <w:bCs w:val="0"/>
          <w:i w:val="0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  <w:t xml:space="preserve">- Государственный земельный надзор Росреестра направлен на предупреждение, выявление и пресе</w:t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  <w:t xml:space="preserve">чение нарушений требований земельного законодательства</w:t>
      </w:r>
      <w:r>
        <w:rPr>
          <w:rFonts w:ascii="Liberation Serif" w:hAnsi="Liberation Serif" w:eastAsia="Liberation Serif" w:cs="Liberation Serif"/>
          <w:i w:val="0"/>
          <w:iCs w:val="0"/>
          <w:sz w:val="28"/>
          <w:szCs w:val="28"/>
        </w:rPr>
        <w:t xml:space="preserve">, - напоминает Татьяна Лобан, заместитель руководителя Управления </w:t>
      </w:r>
      <w:r>
        <w:rPr>
          <w:rFonts w:ascii="Liberation Serif" w:hAnsi="Liberation Serif" w:eastAsia="Liberation Serif" w:cs="Liberation Serif"/>
          <w:i w:val="0"/>
          <w:iCs w:val="0"/>
          <w:sz w:val="28"/>
          <w:szCs w:val="28"/>
        </w:rPr>
        <w:t xml:space="preserve">Росреестра</w:t>
      </w:r>
      <w:r>
        <w:rPr>
          <w:rFonts w:ascii="Liberation Serif" w:hAnsi="Liberation Serif" w:eastAsia="Liberation Serif" w:cs="Liberation Serif"/>
          <w:i w:val="0"/>
          <w:iCs w:val="0"/>
          <w:sz w:val="28"/>
          <w:szCs w:val="28"/>
        </w:rPr>
        <w:t xml:space="preserve"> по Забайкальскому краю</w:t>
      </w:r>
      <w:bookmarkStart w:id="0" w:name="_GoBack"/>
      <w:r>
        <w:rPr>
          <w:rFonts w:ascii="Liberation Serif" w:hAnsi="Liberation Serif" w:eastAsia="Liberation Serif" w:cs="Liberation Serif"/>
          <w:i w:val="0"/>
          <w:iCs w:val="0"/>
          <w:sz w:val="28"/>
          <w:szCs w:val="28"/>
        </w:rPr>
      </w:r>
      <w:bookmarkEnd w:id="0"/>
      <w:r>
        <w:rPr>
          <w:rFonts w:ascii="Liberation Serif" w:hAnsi="Liberation Serif" w:eastAsia="Liberation Serif" w:cs="Liberation Serif"/>
          <w:i w:val="0"/>
          <w:iCs w:val="0"/>
          <w:sz w:val="28"/>
          <w:szCs w:val="28"/>
        </w:rPr>
        <w:t xml:space="preserve">. </w:t>
      </w:r>
      <w:r>
        <w:rPr>
          <w:rFonts w:ascii="Liberation Serif" w:hAnsi="Liberation Serif" w:eastAsia="Liberation Serif" w:cs="Liberation Serif"/>
          <w:i w:val="0"/>
          <w:iCs w:val="0"/>
          <w:sz w:val="28"/>
          <w:szCs w:val="28"/>
          <w:highlight w:val="none"/>
        </w:rPr>
      </w:r>
      <w:r/>
    </w:p>
    <w:p>
      <w:pPr>
        <w:pStyle w:val="771"/>
        <w:ind w:left="0" w:right="0" w:firstLine="567"/>
        <w:jc w:val="both"/>
        <w:rPr>
          <w:rFonts w:ascii="Liberation Serif" w:hAnsi="Liberation Serif" w:cs="Liberation Serif"/>
          <w:bCs w:val="0"/>
          <w:i w:val="0"/>
          <w:color w:val="auto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none"/>
        </w:rPr>
      </w:r>
    </w:p>
    <w:p>
      <w:pPr>
        <w:pStyle w:val="771"/>
        <w:ind w:left="0" w:right="0" w:firstLine="567"/>
        <w:jc w:val="both"/>
        <w:rPr>
          <w:rFonts w:ascii="Liberation Serif" w:hAnsi="Liberation Serif" w:cs="Liberation Serif"/>
          <w:bCs w:val="0"/>
          <w:i w:val="0"/>
          <w:color w:val="auto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  <w:t xml:space="preserve">Для того, чтобы избежать ответственности за нарушение требований земельного законодательства, всем землепользователям рекомендуется:</w:t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i w:val="0"/>
          <w:iCs w:val="0"/>
          <w:sz w:val="28"/>
          <w:szCs w:val="28"/>
        </w:rPr>
      </w:r>
    </w:p>
    <w:p>
      <w:pPr>
        <w:pStyle w:val="773"/>
        <w:numPr>
          <w:ilvl w:val="0"/>
          <w:numId w:val="5"/>
        </w:numPr>
        <w:ind w:left="0" w:right="0" w:firstLine="567"/>
        <w:jc w:val="both"/>
        <w:spacing w:before="0" w:after="0"/>
        <w:rPr>
          <w:rFonts w:ascii="Liberation Serif" w:hAnsi="Liberation Serif" w:cs="Liberation Serif"/>
          <w:color w:val="auto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  <w:t xml:space="preserve">проверить наличие правоустанавливающих, правоудостоверяющих документов на земельный участок. Если документов на участок нет или утеряны, нужно восстановить их, оформить право на участок, зарегистрировав его в Росреестре;</w:t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</w:r>
    </w:p>
    <w:p>
      <w:pPr>
        <w:pStyle w:val="773"/>
        <w:numPr>
          <w:ilvl w:val="0"/>
          <w:numId w:val="5"/>
        </w:numPr>
        <w:ind w:left="0" w:right="0" w:firstLine="567"/>
        <w:jc w:val="both"/>
        <w:spacing w:before="0" w:after="0"/>
        <w:rPr>
          <w:rFonts w:ascii="Liberation Serif" w:hAnsi="Liberation Serif" w:cs="Liberation Serif"/>
          <w:color w:val="auto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  <w:t xml:space="preserve">убедиться, что фактически используемая площадь не превышает площади, указанной в правоустанавливающем документе;</w:t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</w:r>
    </w:p>
    <w:p>
      <w:pPr>
        <w:pStyle w:val="773"/>
        <w:numPr>
          <w:ilvl w:val="0"/>
          <w:numId w:val="5"/>
        </w:numPr>
        <w:ind w:left="0" w:right="0" w:firstLine="567"/>
        <w:jc w:val="both"/>
        <w:spacing w:before="0" w:after="0"/>
        <w:rPr>
          <w:rFonts w:ascii="Liberation Serif" w:hAnsi="Liberation Serif" w:cs="Liberation Serif"/>
          <w:color w:val="auto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  <w:t xml:space="preserve">использовать земельный участок в установленных границах, сведения о которых внесены в ЕГРН. Если границы не установлены, можно пригласить кадастрового инженера для проведения межевания земельного участка и внесения точных границ в ЕГРН. Это защитит владель</w:t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  <w:t xml:space="preserve">цев от возможных споров с соседями или публичными собственниками;</w:t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</w:r>
    </w:p>
    <w:p>
      <w:pPr>
        <w:pStyle w:val="773"/>
        <w:numPr>
          <w:ilvl w:val="0"/>
          <w:numId w:val="5"/>
        </w:numPr>
        <w:ind w:left="0" w:right="0" w:firstLine="567"/>
        <w:jc w:val="both"/>
        <w:spacing w:before="0" w:after="0"/>
        <w:rPr>
          <w:rFonts w:ascii="Liberation Serif" w:hAnsi="Liberation Serif" w:cs="Liberation Serif"/>
          <w:color w:val="auto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  <w:t xml:space="preserve">осуществлять на участке деятельность в соответствии с видом разрешенного использования земельного участка. Информация об этом указана в выписке из ЕГРН, заказать и получить которую можно с помощью электронных сервисов на сайте Росреестра, на портале Госусл</w:t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  <w:t xml:space="preserve">уг, на сайте ППК «Роскадастр», а также в МФЦ.</w:t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i w:val="0"/>
          <w:iCs w:val="0"/>
          <w:color w:val="auto"/>
          <w:sz w:val="28"/>
          <w:szCs w:val="28"/>
          <w:highlight w:val="white"/>
        </w:rPr>
      </w:r>
    </w:p>
    <w:p>
      <w:pPr>
        <w:pStyle w:val="785"/>
        <w:ind w:firstLine="567"/>
        <w:jc w:val="both"/>
        <w:spacing w:line="276" w:lineRule="auto"/>
        <w:rPr>
          <w:rFonts w:ascii="Segoe UI" w:hAnsi="Segoe UI" w:cs="Segoe UI"/>
        </w:rPr>
      </w:pPr>
      <w:r>
        <w:rPr>
          <w:rFonts w:ascii="Segoe UI" w:hAnsi="Segoe UI" w:cs="Segoe UI"/>
          <w:highlight w:val="none"/>
        </w:rPr>
      </w:r>
      <w:r>
        <w:rPr>
          <w:rFonts w:ascii="Segoe UI" w:hAnsi="Segoe UI" w:cs="Segoe UI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осреестр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РосреестрЧита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РосреестрЗабайкальскийКрай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ЗабайкальскийРосреестр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Росреестр75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Госземнадзор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Недвижимость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Земля</w:t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774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774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3"/>
      <w:rPr>
        <w:lang w:val="en-US"/>
      </w:rPr>
    </w:pPr>
    <w:r>
      <w:rPr>
        <w:lang w:val="en-US"/>
      </w:rPr>
    </w:r>
    <w:r>
      <w:rPr>
        <w:lang w:val="en-US"/>
      </w:rPr>
    </w:r>
  </w:p>
  <w:p>
    <w:pPr>
      <w:pStyle w:val="783"/>
      <w:rPr>
        <w:lang w:val="en-US"/>
      </w:rPr>
    </w:pP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66"/>
    <w:link w:val="765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4"/>
    <w:next w:val="76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6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4"/>
    <w:next w:val="76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6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4"/>
    <w:next w:val="76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6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4"/>
    <w:next w:val="76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4"/>
    <w:next w:val="76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4"/>
    <w:next w:val="76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4"/>
    <w:next w:val="76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4"/>
    <w:next w:val="76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64"/>
    <w:next w:val="76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66"/>
    <w:link w:val="34"/>
    <w:uiPriority w:val="10"/>
    <w:rPr>
      <w:sz w:val="48"/>
      <w:szCs w:val="48"/>
    </w:rPr>
  </w:style>
  <w:style w:type="paragraph" w:styleId="36">
    <w:name w:val="Subtitle"/>
    <w:basedOn w:val="764"/>
    <w:next w:val="76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66"/>
    <w:link w:val="36"/>
    <w:uiPriority w:val="11"/>
    <w:rPr>
      <w:sz w:val="24"/>
      <w:szCs w:val="24"/>
    </w:rPr>
  </w:style>
  <w:style w:type="paragraph" w:styleId="38">
    <w:name w:val="Quote"/>
    <w:basedOn w:val="764"/>
    <w:next w:val="76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4"/>
    <w:next w:val="76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6"/>
    <w:link w:val="781"/>
    <w:uiPriority w:val="99"/>
  </w:style>
  <w:style w:type="character" w:styleId="45">
    <w:name w:val="Footer Char"/>
    <w:basedOn w:val="766"/>
    <w:link w:val="783"/>
    <w:uiPriority w:val="99"/>
  </w:style>
  <w:style w:type="paragraph" w:styleId="46">
    <w:name w:val="Caption"/>
    <w:basedOn w:val="764"/>
    <w:next w:val="7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3"/>
    <w:uiPriority w:val="99"/>
  </w:style>
  <w:style w:type="table" w:styleId="48">
    <w:name w:val="Table Grid"/>
    <w:basedOn w:val="76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66"/>
    <w:uiPriority w:val="99"/>
    <w:unhideWhenUsed/>
    <w:rPr>
      <w:vertAlign w:val="superscript"/>
    </w:rPr>
  </w:style>
  <w:style w:type="paragraph" w:styleId="178">
    <w:name w:val="endnote text"/>
    <w:basedOn w:val="76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6"/>
    <w:uiPriority w:val="99"/>
    <w:semiHidden/>
    <w:unhideWhenUsed/>
    <w:rPr>
      <w:vertAlign w:val="superscript"/>
    </w:rPr>
  </w:style>
  <w:style w:type="paragraph" w:styleId="181">
    <w:name w:val="toc 1"/>
    <w:basedOn w:val="764"/>
    <w:next w:val="76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4"/>
    <w:next w:val="76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4"/>
    <w:next w:val="76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4"/>
    <w:next w:val="76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4"/>
    <w:next w:val="76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4"/>
    <w:next w:val="76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4"/>
    <w:next w:val="76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4"/>
    <w:next w:val="76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4"/>
    <w:next w:val="76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4"/>
    <w:next w:val="764"/>
    <w:uiPriority w:val="99"/>
    <w:unhideWhenUsed/>
    <w:pPr>
      <w:spacing w:after="0" w:afterAutospacing="0"/>
    </w:pPr>
  </w:style>
  <w:style w:type="paragraph" w:styleId="764" w:default="1">
    <w:name w:val="Normal"/>
    <w:qFormat/>
    <w:pPr>
      <w:spacing w:after="200" w:line="276" w:lineRule="auto"/>
    </w:pPr>
  </w:style>
  <w:style w:type="paragraph" w:styleId="765">
    <w:name w:val="Heading 1"/>
    <w:basedOn w:val="764"/>
    <w:next w:val="764"/>
    <w:link w:val="772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66" w:default="1">
    <w:name w:val="Default Paragraph Font"/>
    <w:uiPriority w:val="1"/>
    <w:semiHidden/>
    <w:unhideWhenUsed/>
  </w:style>
  <w:style w:type="table" w:styleId="7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8" w:default="1">
    <w:name w:val="No List"/>
    <w:uiPriority w:val="99"/>
    <w:semiHidden/>
    <w:unhideWhenUsed/>
  </w:style>
  <w:style w:type="paragraph" w:styleId="769">
    <w:name w:val="Balloon Text"/>
    <w:basedOn w:val="764"/>
    <w:link w:val="77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70" w:customStyle="1">
    <w:name w:val="Текст выноски Знак"/>
    <w:basedOn w:val="766"/>
    <w:link w:val="769"/>
    <w:uiPriority w:val="99"/>
    <w:semiHidden/>
    <w:rPr>
      <w:rFonts w:ascii="Segoe UI" w:hAnsi="Segoe UI" w:cs="Segoe UI"/>
      <w:sz w:val="18"/>
      <w:szCs w:val="18"/>
    </w:rPr>
  </w:style>
  <w:style w:type="paragraph" w:styleId="771">
    <w:name w:val="No Spacing"/>
    <w:uiPriority w:val="1"/>
    <w:qFormat/>
    <w:pPr>
      <w:spacing w:after="0" w:line="240" w:lineRule="auto"/>
    </w:pPr>
  </w:style>
  <w:style w:type="character" w:styleId="772" w:customStyle="1">
    <w:name w:val="Заголовок 1 Знак"/>
    <w:basedOn w:val="766"/>
    <w:link w:val="765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73">
    <w:name w:val="List Paragraph"/>
    <w:basedOn w:val="764"/>
    <w:uiPriority w:val="34"/>
    <w:qFormat/>
    <w:pPr>
      <w:contextualSpacing/>
      <w:ind w:left="720"/>
      <w:spacing w:after="160" w:line="256" w:lineRule="auto"/>
    </w:pPr>
  </w:style>
  <w:style w:type="character" w:styleId="774">
    <w:name w:val="Hyperlink"/>
    <w:basedOn w:val="766"/>
    <w:uiPriority w:val="99"/>
    <w:unhideWhenUsed/>
    <w:rPr>
      <w:color w:val="0563c1" w:themeColor="hyperlink"/>
      <w:u w:val="single"/>
    </w:rPr>
  </w:style>
  <w:style w:type="character" w:styleId="775">
    <w:name w:val="annotation reference"/>
    <w:basedOn w:val="766"/>
    <w:uiPriority w:val="99"/>
    <w:semiHidden/>
    <w:unhideWhenUsed/>
    <w:rPr>
      <w:sz w:val="16"/>
      <w:szCs w:val="16"/>
    </w:rPr>
  </w:style>
  <w:style w:type="paragraph" w:styleId="776">
    <w:name w:val="annotation text"/>
    <w:basedOn w:val="764"/>
    <w:link w:val="777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777" w:customStyle="1">
    <w:name w:val="Текст примечания Знак"/>
    <w:basedOn w:val="766"/>
    <w:link w:val="776"/>
    <w:uiPriority w:val="99"/>
    <w:semiHidden/>
    <w:rPr>
      <w:sz w:val="20"/>
      <w:szCs w:val="20"/>
    </w:rPr>
  </w:style>
  <w:style w:type="paragraph" w:styleId="778">
    <w:name w:val="annotation subject"/>
    <w:basedOn w:val="776"/>
    <w:next w:val="776"/>
    <w:link w:val="779"/>
    <w:uiPriority w:val="99"/>
    <w:semiHidden/>
    <w:unhideWhenUsed/>
    <w:rPr>
      <w:b/>
      <w:bCs/>
    </w:rPr>
  </w:style>
  <w:style w:type="character" w:styleId="779" w:customStyle="1">
    <w:name w:val="Тема примечания Знак"/>
    <w:basedOn w:val="777"/>
    <w:link w:val="778"/>
    <w:uiPriority w:val="99"/>
    <w:semiHidden/>
    <w:rPr>
      <w:b/>
      <w:bCs/>
      <w:sz w:val="20"/>
      <w:szCs w:val="20"/>
    </w:rPr>
  </w:style>
  <w:style w:type="character" w:styleId="780">
    <w:name w:val="Strong"/>
    <w:basedOn w:val="766"/>
    <w:uiPriority w:val="22"/>
    <w:qFormat/>
    <w:rPr>
      <w:b/>
      <w:bCs/>
    </w:rPr>
  </w:style>
  <w:style w:type="paragraph" w:styleId="781">
    <w:name w:val="Header"/>
    <w:basedOn w:val="764"/>
    <w:link w:val="7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2" w:customStyle="1">
    <w:name w:val="Верхний колонтитул Знак"/>
    <w:basedOn w:val="766"/>
    <w:link w:val="781"/>
    <w:uiPriority w:val="99"/>
  </w:style>
  <w:style w:type="paragraph" w:styleId="783">
    <w:name w:val="Footer"/>
    <w:basedOn w:val="764"/>
    <w:link w:val="78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4" w:customStyle="1">
    <w:name w:val="Нижний колонтитул Знак"/>
    <w:basedOn w:val="766"/>
    <w:link w:val="783"/>
    <w:uiPriority w:val="99"/>
  </w:style>
  <w:style w:type="paragraph" w:styleId="785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14</cp:revision>
  <dcterms:created xsi:type="dcterms:W3CDTF">2022-05-27T10:42:00Z</dcterms:created>
  <dcterms:modified xsi:type="dcterms:W3CDTF">2025-01-20T23:33:12Z</dcterms:modified>
</cp:coreProperties>
</file>