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3.xml" ContentType="application/vnd.ms-office.chartstyle+xml"/>
  <Override PartName="/word/charts/style2.xml" ContentType="application/vnd.ms-office.chartstyl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День семьи: более 90% российских пар украсят свои столы региональными и классическими блюдами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  <w:t xml:space="preserve">Российские пары придерживаются традиционного подхода к составлению меню на свадьбу: 94% выставят либо привязанные к своему региону блюда, либо угощения, принятые по всей стране. Лишь 6% готовы на эксперименты.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  <w:t xml:space="preserve">Своим видением свадебного торжества россияне поделились в опросе Россельхозбанка ко Дню семьи, любви и верности. Исследование также показало, что почти 60% планируют отмечать событие в узком кругу.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Свадьба – не только радостное, но и вкусное мероприятие. Гостей ждут самые разнообразные блюда, однако с местной спецификой. Почти у половины опрошенных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48% – на столе будут традиционные угощения своего региона с со своим кулинарным наследием. Чуть меньше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46% – выставят современные блюда, популярные по всей России. Это значит, что региональные и общепринятые рецепты являются неотъемлемой частью единения двух сердец, в России сильны традиции и обычаи.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Ещё 6% выбрали свой вариант: среди них пельмени,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рыба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азиатская кухня.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Приготовление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угощений 63% доверят шеф-повару, для 24% это сделают старшие родственники, а 13% респондентов предложили свои варианты: это и жених, и подруги, и частный кондитер, а кто-то даже надеется, что эту задачу выполнит Константин Ивлев.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Сколько гостей придут на свадьбу?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Около 20% считают, что свадьба – это мероприятие ис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ключительно для жениха и невесты. Столько же собираются позвать на торжество самых близких – до 10, аналогичная доля примет до 30 гостей. Таким образом, около 60% будут отмечать свадьбу в узком кругу.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До 50 человек позовут 16%, а до 100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12%.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Интересно, что 15% считают, что если гулять – то по-крупному: радость создания новой семьи разделят более 100 человек.</w:t>
      </w:r>
      <w:r>
        <w:rPr>
          <w:highlight w:val="none"/>
        </w:rPr>
      </w:r>
    </w:p>
    <w:p>
      <w:pPr>
        <w:jc w:val="center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drawing>
          <wp:inline distT="0" distB="0" distL="0" distR="0">
            <wp:extent cx="5886450" cy="2109247"/>
            <wp:effectExtent l="4762" t="4762" r="4762" b="4762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Деньги и свадьба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Свадьба – зачастую весьма затратное мероприятие, однако собственных средств на торжество хватает 84% россиян. Ещё 11% помогли родственники. Только 5% воспользовались банковскими займами.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drawing>
          <wp:inline distT="0" distB="0" distL="0" distR="0">
            <wp:extent cx="4552949" cy="2390474"/>
            <wp:effectExtent l="4762" t="4762" r="4762" b="4762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отношении желаемого подарка на свадьбу большинство опрошенных выбрали деньги - 59%.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На втором месте – нечто, что подарит незабываемые эмоции и навсегда оставит яркие воспоминания, например, свадебное путешествие. Такой вариант предпочли 25% респондентов. Ещё 16% россиян хотят памятные подарки, которые можно было бы передать по наследству.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drawing>
          <wp:inline distT="0" distB="0" distL="0" distR="0">
            <wp:extent cx="5288302" cy="2261647"/>
            <wp:effectExtent l="4762" t="4762" r="4762" b="4762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«Россельхозбанк»)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before="240" w:after="28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Департамент 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Пресненская набережная д. 10, стр.2                                                      тел.: (495) 221-51-25, 221-51-24 Е-mail: press@rshb.ru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</w:t>
    </w:r>
    <w:r>
      <w:rPr>
        <w:rFonts w:ascii="Times New Roman" w:hAnsi="Times New Roman" w:eastAsia="Times New Roman" w:cs="Times New Roman"/>
        <w:sz w:val="24"/>
        <w:szCs w:val="24"/>
      </w:rPr>
      <w:t xml:space="preserve">08</w:t>
    </w:r>
    <w:r>
      <w:rPr>
        <w:rFonts w:ascii="Times New Roman" w:hAnsi="Times New Roman" w:eastAsia="Times New Roman" w:cs="Times New Roman"/>
        <w:sz w:val="24"/>
        <w:szCs w:val="24"/>
      </w:rPr>
      <w:t xml:space="preserve">» июля 2025 г.  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  <w:t xml:space="preserve">                                        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</w:style>
  <w:style w:type="paragraph" w:styleId="725">
    <w:name w:val="Heading 1"/>
    <w:basedOn w:val="724"/>
    <w:next w:val="724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1">
    <w:name w:val="Heading 7"/>
    <w:basedOn w:val="724"/>
    <w:next w:val="724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2">
    <w:name w:val="Heading 8"/>
    <w:basedOn w:val="724"/>
    <w:next w:val="724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3">
    <w:name w:val="Heading 9"/>
    <w:basedOn w:val="724"/>
    <w:next w:val="724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34"/>
    <w:uiPriority w:val="10"/>
    <w:rPr>
      <w:sz w:val="48"/>
      <w:szCs w:val="48"/>
    </w:rPr>
  </w:style>
  <w:style w:type="character" w:styleId="747" w:customStyle="1">
    <w:name w:val="Subtitle Char"/>
    <w:basedOn w:val="734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1 Знак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basedOn w:val="734"/>
    <w:link w:val="726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after="0" w:line="240" w:lineRule="auto"/>
    </w:pPr>
  </w:style>
  <w:style w:type="paragraph" w:styleId="762">
    <w:name w:val="Title"/>
    <w:basedOn w:val="724"/>
    <w:next w:val="724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Заголовок Знак"/>
    <w:basedOn w:val="734"/>
    <w:link w:val="762"/>
    <w:uiPriority w:val="10"/>
    <w:rPr>
      <w:sz w:val="48"/>
      <w:szCs w:val="48"/>
    </w:rPr>
  </w:style>
  <w:style w:type="paragraph" w:styleId="764">
    <w:name w:val="Subtitle"/>
    <w:basedOn w:val="724"/>
    <w:next w:val="724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basedOn w:val="734"/>
    <w:link w:val="764"/>
    <w:uiPriority w:val="11"/>
    <w:rPr>
      <w:sz w:val="24"/>
      <w:szCs w:val="24"/>
    </w:rPr>
  </w:style>
  <w:style w:type="paragraph" w:styleId="766">
    <w:name w:val="Quote"/>
    <w:basedOn w:val="724"/>
    <w:next w:val="724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4"/>
    <w:next w:val="724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34"/>
    <w:uiPriority w:val="99"/>
  </w:style>
  <w:style w:type="character" w:styleId="771" w:customStyle="1">
    <w:name w:val="Footer Char"/>
    <w:basedOn w:val="734"/>
    <w:uiPriority w:val="99"/>
  </w:style>
  <w:style w:type="paragraph" w:styleId="772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3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3" w:customStyle="1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7" w:customStyle="1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7" w:customStyle="1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 w:customStyle="1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6" w:customStyle="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0" w:customStyle="1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ned - Accent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Lined - Accent 2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Lined - Accent 6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Bordered &amp; Lined - Accent 2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Bordered &amp; Lined - Accent 6"/>
    <w:basedOn w:val="73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4" w:customStyle="1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8" w:customStyle="1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563c1" w:themeColor="hyperlink"/>
      <w:u w:val="single"/>
    </w:rPr>
  </w:style>
  <w:style w:type="paragraph" w:styleId="900">
    <w:name w:val="footnote text"/>
    <w:basedOn w:val="724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34"/>
    <w:uiPriority w:val="99"/>
    <w:unhideWhenUsed/>
    <w:rPr>
      <w:vertAlign w:val="superscript"/>
    </w:rPr>
  </w:style>
  <w:style w:type="paragraph" w:styleId="903">
    <w:name w:val="endnote text"/>
    <w:basedOn w:val="724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34"/>
    <w:uiPriority w:val="99"/>
    <w:semiHidden/>
    <w:unhideWhenUsed/>
    <w:rPr>
      <w:vertAlign w:val="superscript"/>
    </w:rPr>
  </w:style>
  <w:style w:type="paragraph" w:styleId="906">
    <w:name w:val="toc 1"/>
    <w:basedOn w:val="724"/>
    <w:next w:val="724"/>
    <w:uiPriority w:val="39"/>
    <w:unhideWhenUsed/>
    <w:pPr>
      <w:spacing w:after="57"/>
    </w:pPr>
  </w:style>
  <w:style w:type="paragraph" w:styleId="907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08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09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10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11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12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3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4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24"/>
    <w:next w:val="724"/>
    <w:uiPriority w:val="99"/>
    <w:unhideWhenUsed/>
    <w:pPr>
      <w:spacing w:after="0"/>
    </w:pPr>
  </w:style>
  <w:style w:type="paragraph" w:styleId="917">
    <w:name w:val="Header"/>
    <w:basedOn w:val="724"/>
    <w:link w:val="9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8" w:customStyle="1">
    <w:name w:val="Верхний колонтитул Знак"/>
    <w:basedOn w:val="734"/>
    <w:link w:val="917"/>
    <w:uiPriority w:val="99"/>
  </w:style>
  <w:style w:type="paragraph" w:styleId="919">
    <w:name w:val="Footer"/>
    <w:basedOn w:val="724"/>
    <w:link w:val="9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734"/>
    <w:link w:val="919"/>
    <w:uiPriority w:val="99"/>
  </w:style>
  <w:style w:type="table" w:styleId="921">
    <w:name w:val="Table Grid"/>
    <w:basedOn w:val="73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List Paragraph"/>
    <w:basedOn w:val="724"/>
    <w:uiPriority w:val="34"/>
    <w:qFormat/>
    <w:pPr>
      <w:contextualSpacing/>
      <w:ind w:left="720"/>
    </w:pPr>
  </w:style>
  <w:style w:type="character" w:styleId="923">
    <w:name w:val="annotation reference"/>
    <w:basedOn w:val="734"/>
    <w:uiPriority w:val="99"/>
    <w:semiHidden/>
    <w:unhideWhenUsed/>
    <w:rPr>
      <w:sz w:val="16"/>
      <w:szCs w:val="16"/>
    </w:rPr>
  </w:style>
  <w:style w:type="paragraph" w:styleId="924">
    <w:name w:val="annotation text"/>
    <w:basedOn w:val="724"/>
    <w:link w:val="925"/>
    <w:uiPriority w:val="99"/>
    <w:unhideWhenUsed/>
    <w:pPr>
      <w:spacing w:line="240" w:lineRule="auto"/>
    </w:pPr>
    <w:rPr>
      <w:sz w:val="20"/>
      <w:szCs w:val="20"/>
    </w:rPr>
  </w:style>
  <w:style w:type="character" w:styleId="925" w:customStyle="1">
    <w:name w:val="Текст примечания Знак"/>
    <w:basedOn w:val="734"/>
    <w:link w:val="924"/>
    <w:uiPriority w:val="99"/>
    <w:rPr>
      <w:sz w:val="20"/>
      <w:szCs w:val="20"/>
    </w:rPr>
  </w:style>
  <w:style w:type="paragraph" w:styleId="926">
    <w:name w:val="annotation subject"/>
    <w:basedOn w:val="924"/>
    <w:next w:val="924"/>
    <w:link w:val="927"/>
    <w:uiPriority w:val="99"/>
    <w:semiHidden/>
    <w:unhideWhenUsed/>
    <w:rPr>
      <w:b/>
      <w:bCs/>
    </w:rPr>
  </w:style>
  <w:style w:type="character" w:styleId="927" w:customStyle="1">
    <w:name w:val="Тема примечания Знак"/>
    <w:basedOn w:val="925"/>
    <w:link w:val="926"/>
    <w:uiPriority w:val="99"/>
    <w:semiHidden/>
    <w:rPr>
      <w:b/>
      <w:bCs/>
      <w:sz w:val="20"/>
      <w:szCs w:val="20"/>
    </w:rPr>
  </w:style>
  <w:style w:type="paragraph" w:styleId="928">
    <w:name w:val="Balloon Text"/>
    <w:basedOn w:val="724"/>
    <w:link w:val="92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9" w:customStyle="1">
    <w:name w:val="Текст выноски Знак"/>
    <w:basedOn w:val="734"/>
    <w:link w:val="928"/>
    <w:uiPriority w:val="99"/>
    <w:semiHidden/>
    <w:rPr>
      <w:rFonts w:ascii="Segoe UI" w:hAnsi="Segoe UI" w:cs="Segoe UI"/>
      <w:sz w:val="18"/>
      <w:szCs w:val="18"/>
    </w:rPr>
  </w:style>
  <w:style w:type="character" w:styleId="930">
    <w:name w:val="Strong"/>
    <w:basedOn w:val="73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1" spc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sz="1200" b="1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Сколько гостей должно быть на свадьбе?</a:t>
            </a:r>
            <a:endParaRPr sz="1200" b="1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200" b="1" spc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/>
        </a:p>
      </c:txPr>
    </c:title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Pt>
            <c:idx val="1"/>
            <c:spPr bwMode="auto">
              <a:prstGeom prst="rect">
                <a:avLst/>
              </a:prstGeom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spPr bwMode="auto">
              <a:prstGeom prst="rect">
                <a:avLst/>
              </a:prstGeom>
              <a:solidFill>
                <a:srgbClr val="92D050"/>
              </a:solidFill>
            </c:spPr>
          </c:dPt>
          <c:dPt>
            <c:idx val="3"/>
            <c:spPr bwMode="auto">
              <a:prstGeom prst="rect">
                <a:avLst/>
              </a:prstGeom>
              <a:solidFill>
                <a:srgbClr val="FFC000"/>
              </a:solidFill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5"/>
            <c:spPr bwMode="auto">
              <a:prstGeom prst="rect">
                <a:avLst/>
              </a:prstGeom>
              <a:solidFill>
                <a:srgbClr val="FF0000"/>
              </a:solidFill>
            </c:spPr>
          </c:dPt>
          <c:dLbls>
            <c:dLblPos val="out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 xml:space="preserve">'Проценты и графики'!$F$49:$F$54</c:f>
              <c:strCache>
                <c:ptCount val="6"/>
                <c:pt idx="0">
                  <c:v xml:space="preserve">Это будет торжественный момент только для нас двоих</c:v>
                </c:pt>
                <c:pt idx="1">
                  <c:v xml:space="preserve">Пригласим только самых родных и близких – до 10 человек</c:v>
                </c:pt>
                <c:pt idx="2">
                  <c:v xml:space="preserve">До 30</c:v>
                </c:pt>
                <c:pt idx="3">
                  <c:v xml:space="preserve">До 50</c:v>
                </c:pt>
                <c:pt idx="4">
                  <c:v xml:space="preserve">До 100</c:v>
                </c:pt>
                <c:pt idx="5">
                  <c:v xml:space="preserve">Гулять так гулять – более 100</c:v>
                </c:pt>
              </c:strCache>
            </c:strRef>
          </c:cat>
          <c:val>
            <c:numRef>
              <c:f xml:space="preserve">'Проценты и графики'!$G$49:$G$54</c:f>
              <c:numCache>
                <c:formatCode>0%</c:formatCode>
                <c:ptCount val="6"/>
                <c:pt idx="0">
                  <c:v>0.1873536299765808</c:v>
                </c:pt>
                <c:pt idx="1">
                  <c:v>0.19086651053864168</c:v>
                </c:pt>
                <c:pt idx="2">
                  <c:v>0.19086651053864168</c:v>
                </c:pt>
                <c:pt idx="3">
                  <c:v>0.1592505854800937</c:v>
                </c:pt>
                <c:pt idx="4">
                  <c:v>0.11943793911007025</c:v>
                </c:pt>
                <c:pt idx="5">
                  <c:v>0.1522248243559719</c:v>
                </c:pt>
              </c:numCache>
            </c:numRef>
          </c:val>
        </c:ser>
        <c:dLbls>
          <c:dLblPos val="out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rgbClr val="000000"/>
                  </a:solidFill>
                  <a:latin typeface="Times New Roman"/>
                  <a:ea typeface="Times New Roman"/>
                  <a:cs typeface="Times New Roman"/>
                </a:defRPr>
              </a:pPr>
              <a:endParaRPr/>
            </a:p>
          </c:txPr>
        </c:dLbls>
        <c:gapWidth val="219"/>
        <c:overlap val="-26"/>
        <c:axId val="1866169529"/>
        <c:axId val="1866169530"/>
      </c:barChart>
      <c:catAx>
        <c:axId val="186616952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/>
          </a:p>
        </c:txPr>
        <c:crossAx val="1866169530"/>
        <c:crosses val="autoZero"/>
        <c:auto val="1"/>
        <c:lblAlgn val="ctr"/>
        <c:lblOffset val="100"/>
        <c:tickMarkSkip val="1"/>
        <c:noMultiLvlLbl val="0"/>
      </c:catAx>
      <c:valAx>
        <c:axId val="186616953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/>
          </a:p>
        </c:txPr>
        <c:crossAx val="186616952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886450" cy="210924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b="1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sz="1200" b="1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Нужен ли вам кредит на свадьбу?</a:t>
            </a:r>
            <a:endParaRPr sz="1200" b="1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200" b="1" spc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/>
        </a:p>
      </c:txPr>
    </c:title>
    <c:autoTitleDeleted val="0"/>
    <c:plotArea>
      <c:layout>
        <c:manualLayout/>
      </c:layout>
      <c:pieChart>
        <c:varyColors val="1"/>
        <c:ser>
          <c:idx val="0"/>
          <c:order val="0"/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/>
                </a:p>
              </c:txPr>
            </c:dLbl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 xml:space="preserve">'Проценты и графики'!$F$12:$F$14</c:f>
              <c:strCache>
                <c:ptCount val="3"/>
                <c:pt idx="0">
                  <c:v>Да</c:v>
                </c:pt>
                <c:pt idx="1">
                  <c:v xml:space="preserve">Нам помогут родственники</c:v>
                </c:pt>
                <c:pt idx="2">
                  <c:v>Нет</c:v>
                </c:pt>
              </c:strCache>
            </c:strRef>
          </c:cat>
          <c:val>
            <c:numRef>
              <c:f xml:space="preserve">'Проценты и графики'!$G$12:$G$14</c:f>
              <c:numCache>
                <c:formatCode>0.0%</c:formatCode>
                <c:ptCount val="3"/>
                <c:pt idx="0">
                  <c:v>0.04566744730679157</c:v>
                </c:pt>
                <c:pt idx="1">
                  <c:v>0.11124121779859485</c:v>
                </c:pt>
                <c:pt idx="2">
                  <c:v>0.8430913348946136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rgbClr val="000000"/>
                  </a:solidFill>
                  <a:latin typeface="Times New Roman"/>
                  <a:ea typeface="Times New Roman"/>
                  <a:cs typeface="Times New Roman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52440"/>
          <c:y val="0.346340"/>
          <c:w val="0.333950"/>
          <c:h val="0.30730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7" cy="2390472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200" b="1" spc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sz="1200" b="1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Какой, по вашему мнению, лучший подарок на свадьбу?</a:t>
            </a:r>
            <a:endParaRPr sz="1200" b="1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200" b="1" spc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/>
        </a:p>
      </c:txPr>
    </c:title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Pt>
            <c:idx val="0"/>
            <c:spPr bwMode="auto">
              <a:prstGeom prst="rect">
                <a:avLst/>
              </a:prstGeom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10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/>
              </a:p>
            </c:txPr>
          </c:dLbls>
          <c:cat>
            <c:strRef>
              <c:f xml:space="preserve">'Проценты и графики'!$F$26:$F$28</c:f>
              <c:strCache>
                <c:ptCount val="3"/>
                <c:pt idx="0">
                  <c:v xml:space="preserve">Памятный подарок (то, что можно долго использовать или даже передать по наследству)</c:v>
                </c:pt>
                <c:pt idx="1">
                  <c:v xml:space="preserve">Эмоции (например, путешествие)</c:v>
                </c:pt>
                <c:pt idx="2">
                  <c:v>Деньги</c:v>
                </c:pt>
              </c:strCache>
            </c:strRef>
          </c:cat>
          <c:val>
            <c:numRef>
              <c:f xml:space="preserve">'Проценты и графики'!$G$26:$G$28</c:f>
              <c:numCache>
                <c:formatCode>0%</c:formatCode>
                <c:ptCount val="3"/>
                <c:pt idx="0">
                  <c:v>0.15807962529274006</c:v>
                </c:pt>
                <c:pt idx="1">
                  <c:v>0.2529274004683841</c:v>
                </c:pt>
                <c:pt idx="2">
                  <c:v>0.5889929742388759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1200">
                  <a:solidFill>
                    <a:srgbClr val="000000"/>
                  </a:solidFill>
                  <a:latin typeface="Times New Roman"/>
                  <a:ea typeface="Times New Roman"/>
                  <a:cs typeface="Times New Roman"/>
                </a:defRPr>
              </a:pPr>
              <a:endParaRPr/>
            </a:p>
          </c:txPr>
        </c:dLbls>
        <c:gapWidth val="219"/>
        <c:overlap val="-25"/>
        <c:axId val="1866169531"/>
        <c:axId val="1866169532"/>
      </c:barChart>
      <c:catAx>
        <c:axId val="18661695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/>
          </a:p>
        </c:txPr>
        <c:crossAx val="1866169532"/>
        <c:crosses val="autoZero"/>
        <c:auto val="1"/>
        <c:lblAlgn val="ctr"/>
        <c:lblOffset val="100"/>
        <c:tickMarkSkip val="1"/>
        <c:noMultiLvlLbl val="0"/>
      </c:catAx>
      <c:valAx>
        <c:axId val="186616953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10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/>
          </a:p>
        </c:txPr>
        <c:crossAx val="186616953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5288301" cy="226164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20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9</cp:revision>
  <dcterms:created xsi:type="dcterms:W3CDTF">2025-06-19T18:00:00Z</dcterms:created>
  <dcterms:modified xsi:type="dcterms:W3CDTF">2025-07-08T08:47:01Z</dcterms:modified>
</cp:coreProperties>
</file>