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/>
        <w:rPr>
          <w:rFonts w:ascii="Liberation Serif" w:hAnsi="Liberation Serif" w:cs="Liberation Serif"/>
          <w:b/>
          <w:bCs/>
          <w:sz w:val="32"/>
          <w:szCs w:val="32"/>
          <w:u w:val="single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  <w:u w:val="single"/>
        </w:rPr>
        <w:t xml:space="preserve">6. С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  <w:u w:val="single"/>
        </w:rPr>
        <w:t xml:space="preserve">ЕРВИС «ЗЕМЛЯ ДЛЯ СТРОЙКИ» (БАНК ЗЕМЛИ)</w:t>
      </w:r>
      <w:r>
        <w:rPr>
          <w:rFonts w:ascii="Liberation Serif" w:hAnsi="Liberation Serif" w:cs="Liberation Serif"/>
          <w:b/>
          <w:bCs/>
          <w:sz w:val="32"/>
          <w:szCs w:val="32"/>
          <w:u w:val="single"/>
        </w:rPr>
      </w:r>
      <w:r>
        <w:rPr>
          <w:rFonts w:ascii="Liberation Serif" w:hAnsi="Liberation Serif" w:cs="Liberation Serif"/>
          <w:b/>
          <w:bCs/>
          <w:sz w:val="32"/>
          <w:szCs w:val="32"/>
          <w:u w:val="single"/>
        </w:rPr>
      </w:r>
    </w:p>
    <w:p>
      <w:pPr>
        <w:jc w:val="both"/>
        <w:spacing w:after="0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/>
        <w:rPr>
          <w:rFonts w:ascii="Liberation Serif" w:hAnsi="Liberation Serif" w:cs="Liberation Serif"/>
          <w:b/>
          <w:bCs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В рамках реализации государственной программы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«Национальная система пространственных данных» (НСПД)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в Забайкальском крае внедрен проект «Банк земли» для жилищного строительства. В ее рамках в открытом доступе на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цифровом ресурсе НСПД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внедрен электронный сервис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«Земля для стройки». </w:t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</w:rPr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</w:rPr>
      </w:r>
    </w:p>
    <w:p>
      <w:pPr>
        <w:ind w:left="0" w:right="0" w:firstLine="0"/>
        <w:jc w:val="both"/>
        <w:spacing w:after="0"/>
        <w:rPr>
          <w:rFonts w:ascii="Liberation Serif" w:hAnsi="Liberation Serif" w:cs="Liberation Serif"/>
          <w:b/>
          <w:bCs/>
          <w:sz w:val="32"/>
          <w:szCs w:val="32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</w:r>
      <w:r>
        <w:rPr>
          <w:rFonts w:ascii="Liberation Serif" w:hAnsi="Liberation Serif" w:cs="Liberation Serif"/>
          <w:b/>
          <w:bCs/>
          <w:sz w:val="32"/>
          <w:szCs w:val="32"/>
        </w:rPr>
      </w:r>
      <w:r>
        <w:rPr>
          <w:rFonts w:ascii="Liberation Serif" w:hAnsi="Liberation Serif" w:cs="Liberation Serif"/>
          <w:b/>
          <w:bCs/>
          <w:sz w:val="32"/>
          <w:szCs w:val="32"/>
        </w:rPr>
      </w:r>
    </w:p>
    <w:p>
      <w:pPr>
        <w:ind w:left="0" w:right="0" w:firstLine="0"/>
        <w:jc w:val="both"/>
        <w:spacing w:after="0"/>
        <w:rPr>
          <w:rFonts w:ascii="Liberation Serif" w:hAnsi="Liberation Serif" w:cs="Liberation Serif"/>
          <w:b w:val="0"/>
          <w:bCs w:val="0"/>
          <w:sz w:val="32"/>
          <w:szCs w:val="32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</w:rPr>
        <w:t xml:space="preserve">Воспользовавшись сервисом гражданин может приобрести участок на территории не только Забайкальского края, но и всей страны.</w:t>
      </w:r>
      <w:r>
        <w:rPr>
          <w:rFonts w:ascii="Liberation Serif" w:hAnsi="Liberation Serif" w:cs="Liberation Serif"/>
          <w:b w:val="0"/>
          <w:bCs w:val="0"/>
          <w:sz w:val="32"/>
          <w:szCs w:val="32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</w:rPr>
      </w:r>
    </w:p>
    <w:p>
      <w:pPr>
        <w:pStyle w:val="975"/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pStyle w:val="975"/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Для реализации проекта Управлением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Росреестра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по Забайкальскому краю создан оперативный штаб по выявлению неэффективно используемых земельных участков.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В состав оперативного штаба вошли представители филиала ППК «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Роскадастр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» по Забайкальскому краю, Департамента государственного имущества и земельных отношений Забайкальского края и ряда других заинтересованных органов власти и организаций.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0"/>
        <w:jc w:val="both"/>
        <w:spacing w:after="0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bookmarkStart w:id="0" w:name="_GoBack"/>
      <w:r>
        <w:rPr>
          <w:rFonts w:ascii="Liberation Serif" w:hAnsi="Liberation Serif" w:eastAsia="Liberation Serif" w:cs="Liberation Serif"/>
          <w:sz w:val="32"/>
          <w:szCs w:val="32"/>
        </w:rPr>
      </w:r>
      <w:bookmarkEnd w:id="0"/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/>
        <w:rPr>
          <w:rFonts w:ascii="Liberation Serif" w:hAnsi="Liberation Serif" w:eastAsia="Liberation Serif" w:cs="Liberation Serif"/>
          <w:b/>
          <w:bCs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В Забайкальском крае на июнь 2025 года на ресурсе НСПД доступны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603 земельных участка и территорий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общей площадью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1490 гектаров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земли под индивидуальное жилищное строительство (ИЖС) и строительство многоквартирных домов (МКД), что почти в 3 раза превысило площадь таких земель на начало 2022 года. </w:t>
      </w:r>
      <w:r/>
      <w:r>
        <w:rPr>
          <w:rFonts w:ascii="Liberation Serif" w:hAnsi="Liberation Serif" w:eastAsia="Liberation Serif" w:cs="Liberation Serif"/>
          <w:b/>
          <w:bCs/>
          <w:sz w:val="32"/>
          <w:szCs w:val="32"/>
        </w:rPr>
      </w:r>
    </w:p>
    <w:p>
      <w:pPr>
        <w:ind w:left="0" w:right="0" w:firstLine="0"/>
        <w:jc w:val="both"/>
        <w:spacing w:after="0"/>
        <w:tabs>
          <w:tab w:val="left" w:pos="709" w:leader="none"/>
        </w:tabs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/>
        <w:tabs>
          <w:tab w:val="left" w:pos="540" w:leader="none"/>
        </w:tabs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bCs/>
          <w:sz w:val="32"/>
          <w:szCs w:val="32"/>
          <w:highlight w:val="none"/>
        </w:rPr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Д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ля индивидуального жилищного строительства выделено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6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56 га,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для расположения многоквартирных домов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–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834 га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.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/>
        <w:tabs>
          <w:tab w:val="left" w:pos="540" w:leader="none"/>
        </w:tabs>
        <w:rPr>
          <w:rFonts w:ascii="Liberation Serif" w:hAnsi="Liberation Serif" w:cs="Liberation Serif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  <w:highlight w:val="none"/>
        </w:rPr>
      </w:r>
    </w:p>
    <w:p>
      <w:pPr>
        <w:ind w:left="0" w:right="0" w:firstLine="0"/>
        <w:jc w:val="both"/>
        <w:spacing w:after="0"/>
        <w:tabs>
          <w:tab w:val="left" w:pos="540" w:leader="none"/>
        </w:tabs>
        <w:rPr>
          <w:rFonts w:ascii="Liberation Serif" w:hAnsi="Liberation Serif" w:cs="Liberation Serif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7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7 земельных участков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общей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площадью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1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50 гектаров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уже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вовлечены в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оборот под жилищное строительство</w:t>
      </w:r>
      <w:r>
        <w:rPr>
          <w:rFonts w:ascii="Liberation Serif" w:hAnsi="Liberation Serif" w:eastAsia="Liberation Serif" w:cs="Liberation Serif"/>
          <w:bCs/>
          <w:sz w:val="32"/>
          <w:szCs w:val="3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(ИЖС, МКД, заключены договоры аренды, в том числе под комплексное развитие территорий)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.</w:t>
      </w: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  <w:t xml:space="preserve"> В частности, в рамках программы в г. Чита выделена территория (район школы 17) под строительство ЖК «Дальневосточный квартал».</w:t>
      </w:r>
      <w:r>
        <w:rPr>
          <w:rFonts w:ascii="Liberation Serif" w:hAnsi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  <w:highlight w:val="none"/>
        </w:rPr>
      </w:r>
    </w:p>
    <w:p>
      <w:pPr>
        <w:pStyle w:val="975"/>
        <w:ind w:left="0" w:right="0" w:firstLine="0"/>
        <w:jc w:val="both"/>
        <w:spacing w:before="0" w:beforeAutospacing="0" w:after="0" w:afterAutospacing="0" w:line="276" w:lineRule="auto"/>
        <w:rPr>
          <w:rFonts w:ascii="Liberation Serif" w:hAnsi="Liberation Serif" w:cs="Liberation Serif"/>
          <w:bCs/>
          <w:sz w:val="32"/>
          <w:szCs w:val="32"/>
        </w:rPr>
      </w:pPr>
      <w:r>
        <w:rPr>
          <w:rFonts w:ascii="Liberation Serif" w:hAnsi="Liberation Serif" w:eastAsia="Liberation Serif" w:cs="Liberation Serif"/>
          <w:bCs/>
          <w:sz w:val="32"/>
          <w:szCs w:val="32"/>
        </w:rPr>
      </w:r>
      <w:r>
        <w:rPr>
          <w:rFonts w:ascii="Liberation Serif" w:hAnsi="Liberation Serif" w:cs="Liberation Serif"/>
          <w:bCs/>
          <w:sz w:val="32"/>
          <w:szCs w:val="32"/>
        </w:rPr>
      </w:r>
      <w:r>
        <w:rPr>
          <w:rFonts w:ascii="Liberation Serif" w:hAnsi="Liberation Serif" w:cs="Liberation Serif"/>
          <w:bCs/>
          <w:sz w:val="32"/>
          <w:szCs w:val="32"/>
        </w:rPr>
      </w:r>
    </w:p>
    <w:p>
      <w:pPr>
        <w:pStyle w:val="975"/>
        <w:ind w:left="0" w:right="0" w:firstLine="0"/>
        <w:jc w:val="both"/>
        <w:spacing w:before="0" w:beforeAutospacing="0" w:after="0" w:afterAutospacing="0" w:line="276" w:lineRule="auto"/>
        <w:rPr>
          <w:rFonts w:ascii="Liberation Serif" w:hAnsi="Liberation Serif" w:cs="Liberation Serif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Земельные участки, зоны и территории находятся в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федеральной, региональной, муниципальной либо неразграниченной собственности.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В основном эт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и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з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емли расположены в Чите и крупных районных центрах края. </w:t>
      </w:r>
      <w:r>
        <w:rPr>
          <w:rFonts w:ascii="Liberation Serif" w:hAnsi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4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4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2">
    <w:name w:val="Heading 1 Char"/>
    <w:basedOn w:val="956"/>
    <w:link w:val="955"/>
    <w:uiPriority w:val="9"/>
    <w:rPr>
      <w:rFonts w:ascii="Arial" w:hAnsi="Arial" w:eastAsia="Arial" w:cs="Arial"/>
      <w:sz w:val="40"/>
      <w:szCs w:val="40"/>
    </w:rPr>
  </w:style>
  <w:style w:type="paragraph" w:styleId="783">
    <w:name w:val="Heading 2"/>
    <w:basedOn w:val="954"/>
    <w:next w:val="954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4">
    <w:name w:val="Heading 2 Char"/>
    <w:basedOn w:val="956"/>
    <w:link w:val="783"/>
    <w:uiPriority w:val="9"/>
    <w:rPr>
      <w:rFonts w:ascii="Arial" w:hAnsi="Arial" w:eastAsia="Arial" w:cs="Arial"/>
      <w:sz w:val="34"/>
    </w:rPr>
  </w:style>
  <w:style w:type="paragraph" w:styleId="785">
    <w:name w:val="Heading 3"/>
    <w:basedOn w:val="954"/>
    <w:next w:val="954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6">
    <w:name w:val="Heading 3 Char"/>
    <w:basedOn w:val="956"/>
    <w:link w:val="785"/>
    <w:uiPriority w:val="9"/>
    <w:rPr>
      <w:rFonts w:ascii="Arial" w:hAnsi="Arial" w:eastAsia="Arial" w:cs="Arial"/>
      <w:sz w:val="30"/>
      <w:szCs w:val="30"/>
    </w:rPr>
  </w:style>
  <w:style w:type="paragraph" w:styleId="787">
    <w:name w:val="Heading 4"/>
    <w:basedOn w:val="954"/>
    <w:next w:val="954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>
    <w:name w:val="Heading 4 Char"/>
    <w:basedOn w:val="956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4"/>
    <w:next w:val="954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4"/>
    <w:next w:val="954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4"/>
    <w:next w:val="954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4"/>
    <w:next w:val="954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4"/>
    <w:next w:val="954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954"/>
    <w:next w:val="954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>
    <w:name w:val="Title Char"/>
    <w:basedOn w:val="956"/>
    <w:link w:val="799"/>
    <w:uiPriority w:val="10"/>
    <w:rPr>
      <w:sz w:val="48"/>
      <w:szCs w:val="48"/>
    </w:rPr>
  </w:style>
  <w:style w:type="paragraph" w:styleId="801">
    <w:name w:val="Subtitle"/>
    <w:basedOn w:val="954"/>
    <w:next w:val="954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>
    <w:name w:val="Subtitle Char"/>
    <w:basedOn w:val="956"/>
    <w:link w:val="801"/>
    <w:uiPriority w:val="11"/>
    <w:rPr>
      <w:sz w:val="24"/>
      <w:szCs w:val="24"/>
    </w:rPr>
  </w:style>
  <w:style w:type="paragraph" w:styleId="803">
    <w:name w:val="Quote"/>
    <w:basedOn w:val="954"/>
    <w:next w:val="954"/>
    <w:link w:val="804"/>
    <w:uiPriority w:val="29"/>
    <w:qFormat/>
    <w:pPr>
      <w:ind w:left="720" w:right="720"/>
    </w:pPr>
    <w:rPr>
      <w:i/>
    </w:rPr>
  </w:style>
  <w:style w:type="character" w:styleId="804">
    <w:name w:val="Quote Char"/>
    <w:link w:val="803"/>
    <w:uiPriority w:val="29"/>
    <w:rPr>
      <w:i/>
    </w:rPr>
  </w:style>
  <w:style w:type="paragraph" w:styleId="805">
    <w:name w:val="Intense Quote"/>
    <w:basedOn w:val="954"/>
    <w:next w:val="954"/>
    <w:link w:val="8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>
    <w:name w:val="Intense Quote Char"/>
    <w:link w:val="805"/>
    <w:uiPriority w:val="30"/>
    <w:rPr>
      <w:i/>
    </w:rPr>
  </w:style>
  <w:style w:type="character" w:styleId="807">
    <w:name w:val="Header Char"/>
    <w:basedOn w:val="956"/>
    <w:link w:val="971"/>
    <w:uiPriority w:val="99"/>
  </w:style>
  <w:style w:type="character" w:styleId="808">
    <w:name w:val="Footer Char"/>
    <w:basedOn w:val="956"/>
    <w:link w:val="973"/>
    <w:uiPriority w:val="99"/>
  </w:style>
  <w:style w:type="paragraph" w:styleId="809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973"/>
    <w:uiPriority w:val="99"/>
  </w:style>
  <w:style w:type="table" w:styleId="811">
    <w:name w:val="Table Grid"/>
    <w:basedOn w:val="9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1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2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3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4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5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6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basedOn w:val="956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basedOn w:val="956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  <w:pPr>
      <w:spacing w:after="200" w:line="276" w:lineRule="auto"/>
    </w:pPr>
  </w:style>
  <w:style w:type="paragraph" w:styleId="955">
    <w:name w:val="Heading 1"/>
    <w:basedOn w:val="954"/>
    <w:next w:val="954"/>
    <w:link w:val="96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paragraph" w:styleId="959">
    <w:name w:val="Balloon Text"/>
    <w:basedOn w:val="954"/>
    <w:link w:val="9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956"/>
    <w:link w:val="959"/>
    <w:uiPriority w:val="99"/>
    <w:semiHidden/>
    <w:rPr>
      <w:rFonts w:ascii="Segoe UI" w:hAnsi="Segoe UI" w:cs="Segoe UI"/>
      <w:sz w:val="18"/>
      <w:szCs w:val="18"/>
    </w:rPr>
  </w:style>
  <w:style w:type="paragraph" w:styleId="961">
    <w:name w:val="No Spacing"/>
    <w:uiPriority w:val="1"/>
    <w:qFormat/>
    <w:pPr>
      <w:spacing w:after="0" w:line="240" w:lineRule="auto"/>
    </w:pPr>
  </w:style>
  <w:style w:type="character" w:styleId="962" w:customStyle="1">
    <w:name w:val="Заголовок 1 Знак"/>
    <w:basedOn w:val="956"/>
    <w:link w:val="9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3">
    <w:name w:val="List Paragraph"/>
    <w:basedOn w:val="954"/>
    <w:uiPriority w:val="34"/>
    <w:qFormat/>
    <w:pPr>
      <w:contextualSpacing/>
      <w:ind w:left="720"/>
      <w:spacing w:after="160" w:line="256" w:lineRule="auto"/>
    </w:pPr>
  </w:style>
  <w:style w:type="character" w:styleId="964">
    <w:name w:val="Hyperlink"/>
    <w:basedOn w:val="956"/>
    <w:uiPriority w:val="99"/>
    <w:unhideWhenUsed/>
    <w:rPr>
      <w:color w:val="0563c1" w:themeColor="hyperlink"/>
      <w:u w:val="single"/>
    </w:rPr>
  </w:style>
  <w:style w:type="character" w:styleId="965">
    <w:name w:val="annotation reference"/>
    <w:basedOn w:val="956"/>
    <w:uiPriority w:val="99"/>
    <w:semiHidden/>
    <w:unhideWhenUsed/>
    <w:rPr>
      <w:sz w:val="16"/>
      <w:szCs w:val="16"/>
    </w:rPr>
  </w:style>
  <w:style w:type="paragraph" w:styleId="966">
    <w:name w:val="annotation text"/>
    <w:basedOn w:val="954"/>
    <w:link w:val="96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7" w:customStyle="1">
    <w:name w:val="Текст примечания Знак"/>
    <w:basedOn w:val="956"/>
    <w:link w:val="966"/>
    <w:uiPriority w:val="99"/>
    <w:semiHidden/>
    <w:rPr>
      <w:sz w:val="20"/>
      <w:szCs w:val="20"/>
    </w:rPr>
  </w:style>
  <w:style w:type="paragraph" w:styleId="968">
    <w:name w:val="annotation subject"/>
    <w:basedOn w:val="966"/>
    <w:next w:val="966"/>
    <w:link w:val="969"/>
    <w:uiPriority w:val="99"/>
    <w:semiHidden/>
    <w:unhideWhenUsed/>
    <w:rPr>
      <w:b/>
      <w:bCs/>
    </w:rPr>
  </w:style>
  <w:style w:type="character" w:styleId="969" w:customStyle="1">
    <w:name w:val="Тема примечания Знак"/>
    <w:basedOn w:val="967"/>
    <w:link w:val="968"/>
    <w:uiPriority w:val="99"/>
    <w:semiHidden/>
    <w:rPr>
      <w:b/>
      <w:bCs/>
      <w:sz w:val="20"/>
      <w:szCs w:val="20"/>
    </w:rPr>
  </w:style>
  <w:style w:type="character" w:styleId="970">
    <w:name w:val="Strong"/>
    <w:basedOn w:val="956"/>
    <w:uiPriority w:val="22"/>
    <w:qFormat/>
    <w:rPr>
      <w:b/>
      <w:bCs/>
    </w:rPr>
  </w:style>
  <w:style w:type="paragraph" w:styleId="971">
    <w:name w:val="Header"/>
    <w:basedOn w:val="954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56"/>
    <w:link w:val="971"/>
    <w:uiPriority w:val="99"/>
  </w:style>
  <w:style w:type="paragraph" w:styleId="973">
    <w:name w:val="Footer"/>
    <w:basedOn w:val="954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56"/>
    <w:link w:val="973"/>
    <w:uiPriority w:val="99"/>
  </w:style>
  <w:style w:type="paragraph" w:styleId="975">
    <w:name w:val="Normal (Web)"/>
    <w:basedOn w:val="95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99</cp:revision>
  <dcterms:created xsi:type="dcterms:W3CDTF">2022-05-27T10:42:00Z</dcterms:created>
  <dcterms:modified xsi:type="dcterms:W3CDTF">2025-06-23T04:56:02Z</dcterms:modified>
</cp:coreProperties>
</file>