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7512B">
      <w:pPr>
        <w:pBdr>
          <w:bottom w:val="single" w:color="auto" w:sz="12" w:space="1"/>
        </w:pBdr>
        <w:tabs>
          <w:tab w:val="left" w:pos="426"/>
        </w:tabs>
        <w:jc w:val="center"/>
        <w:rPr>
          <w:b/>
          <w:sz w:val="24"/>
          <w:szCs w:val="24"/>
          <w:lang w:val="en-US"/>
        </w:rPr>
      </w:pPr>
    </w:p>
    <w:p w14:paraId="3531A98D">
      <w:pPr>
        <w:pBdr>
          <w:bottom w:val="single" w:color="auto" w:sz="12" w:space="1"/>
        </w:pBdr>
        <w:jc w:val="center"/>
        <w:rPr>
          <w:b/>
          <w:sz w:val="24"/>
          <w:szCs w:val="31"/>
        </w:rPr>
      </w:pPr>
      <w:r>
        <w:rPr>
          <w:b/>
          <w:sz w:val="24"/>
          <w:szCs w:val="24"/>
        </w:rPr>
        <w:t xml:space="preserve">КОНТРОЛЬНО-СЧЕТНАЯ ПАЛАТА </w:t>
      </w:r>
      <w:r>
        <w:rPr>
          <w:b/>
          <w:sz w:val="24"/>
          <w:szCs w:val="24"/>
        </w:rPr>
        <w:br w:type="textWrapping"/>
      </w:r>
      <w:r>
        <w:rPr>
          <w:b/>
          <w:sz w:val="24"/>
          <w:szCs w:val="31"/>
        </w:rPr>
        <w:t>ДУЛЬДУРГИНСКОГО МУНИЦИПАЛЬНОГО ОКРУГА</w:t>
      </w:r>
    </w:p>
    <w:p w14:paraId="4D425246">
      <w:pPr>
        <w:jc w:val="center"/>
        <w:rPr>
          <w:b/>
          <w:sz w:val="24"/>
          <w:szCs w:val="31"/>
        </w:rPr>
      </w:pPr>
    </w:p>
    <w:p w14:paraId="045B2F49">
      <w:pPr>
        <w:spacing w:line="276" w:lineRule="auto"/>
        <w:jc w:val="center"/>
        <w:rPr>
          <w:b/>
          <w:sz w:val="24"/>
        </w:rPr>
      </w:pPr>
      <w:r>
        <w:rPr>
          <w:b/>
          <w:sz w:val="24"/>
        </w:rPr>
        <w:t>ЗАКЛЮЧЕНИЕ</w:t>
      </w:r>
    </w:p>
    <w:p w14:paraId="3931AD8E">
      <w:pPr>
        <w:spacing w:line="276" w:lineRule="auto"/>
        <w:jc w:val="center"/>
        <w:rPr>
          <w:rFonts w:hint="default"/>
          <w:b/>
          <w:sz w:val="24"/>
          <w:lang w:val="ru-RU"/>
        </w:rPr>
      </w:pPr>
      <w:r>
        <w:rPr>
          <w:b/>
          <w:sz w:val="24"/>
        </w:rPr>
        <w:t>по результатам экспертизы проекта Решения Совета Дульдургинского муниципального округа  «О бюджете Дульдургинского муниципального округа</w:t>
      </w:r>
      <w:r>
        <w:rPr>
          <w:b/>
          <w:sz w:val="24"/>
        </w:rPr>
        <w:br w:type="textWrapping"/>
      </w:r>
      <w:r>
        <w:rPr>
          <w:b/>
          <w:sz w:val="24"/>
        </w:rPr>
        <w:t xml:space="preserve">  на 2026 год и плановый период 2027-2028 годов</w:t>
      </w:r>
      <w:r>
        <w:rPr>
          <w:rFonts w:hint="default"/>
          <w:b/>
          <w:sz w:val="24"/>
          <w:lang w:val="ru-RU"/>
        </w:rPr>
        <w:t>»</w:t>
      </w:r>
    </w:p>
    <w:p w14:paraId="41DBF69B">
      <w:pPr>
        <w:spacing w:line="276" w:lineRule="auto"/>
        <w:ind w:left="-284" w:firstLine="284"/>
        <w:jc w:val="center"/>
        <w:rPr>
          <w:sz w:val="24"/>
        </w:rPr>
      </w:pPr>
    </w:p>
    <w:p w14:paraId="2E905FDE">
      <w:pPr>
        <w:spacing w:line="276" w:lineRule="auto"/>
        <w:ind w:left="-284" w:firstLine="284"/>
        <w:jc w:val="center"/>
        <w:rPr>
          <w:b/>
          <w:sz w:val="24"/>
        </w:rPr>
      </w:pPr>
      <w:r>
        <w:rPr>
          <w:sz w:val="24"/>
        </w:rPr>
        <w:t>с. Дульдурга                                                                                                    1</w:t>
      </w:r>
      <w:r>
        <w:rPr>
          <w:rFonts w:hint="default"/>
          <w:sz w:val="24"/>
          <w:lang w:val="ru-RU"/>
        </w:rPr>
        <w:t>5</w:t>
      </w:r>
      <w:r>
        <w:rPr>
          <w:sz w:val="24"/>
        </w:rPr>
        <w:t>.12.2025 г.</w:t>
      </w:r>
    </w:p>
    <w:p w14:paraId="73BA8D07">
      <w:pPr>
        <w:spacing w:line="276" w:lineRule="auto"/>
        <w:rPr>
          <w:sz w:val="24"/>
        </w:rPr>
      </w:pPr>
    </w:p>
    <w:p w14:paraId="56C14D63">
      <w:pPr>
        <w:spacing w:line="276" w:lineRule="auto"/>
        <w:ind w:left="-1134" w:firstLine="850"/>
        <w:jc w:val="both"/>
        <w:rPr>
          <w:sz w:val="24"/>
        </w:rPr>
      </w:pPr>
    </w:p>
    <w:p w14:paraId="50C2B4F1">
      <w:pPr>
        <w:spacing w:line="276" w:lineRule="auto"/>
        <w:ind w:firstLine="283"/>
        <w:jc w:val="both"/>
        <w:rPr>
          <w:sz w:val="24"/>
          <w:szCs w:val="24"/>
        </w:rPr>
      </w:pPr>
      <w:r>
        <w:rPr>
          <w:sz w:val="24"/>
        </w:rPr>
        <w:t xml:space="preserve">  Заключение контрольно-счетной палаты по результатам экспертизы проекта Решения Совета Дульдургинского муниципального округа «О бюджете Дульдургинского муниципального округа на 2026 год и плановый период 2027 и 2028 годов» подготовлено в </w:t>
      </w:r>
      <w:r>
        <w:rPr>
          <w:sz w:val="24"/>
          <w:szCs w:val="24"/>
        </w:rPr>
        <w:t xml:space="preserve"> соответствии с Бюджетным кодексом Российской Федерации, пунктом 2 статьи 24 Положения о бюджетном процессе в муниципальном районе «Дульдургинский район»,  а также в соответствии с подпунктом 2  пункта 1 статьи 8 Положения о контрольно-счетной палате Дульдургинского  муниципального округа.</w:t>
      </w:r>
    </w:p>
    <w:p w14:paraId="58A4638E">
      <w:pPr>
        <w:pStyle w:val="11"/>
        <w:spacing w:line="276" w:lineRule="auto"/>
        <w:ind w:left="142"/>
        <w:jc w:val="center"/>
        <w:rPr>
          <w:b/>
          <w:sz w:val="24"/>
          <w:szCs w:val="24"/>
        </w:rPr>
      </w:pPr>
    </w:p>
    <w:p w14:paraId="358C2EE8">
      <w:pPr>
        <w:pStyle w:val="11"/>
        <w:spacing w:line="276" w:lineRule="auto"/>
        <w:ind w:left="708"/>
        <w:jc w:val="center"/>
        <w:rPr>
          <w:b/>
          <w:sz w:val="24"/>
          <w:szCs w:val="24"/>
        </w:rPr>
      </w:pPr>
      <w:r>
        <w:rPr>
          <w:b/>
          <w:sz w:val="24"/>
          <w:szCs w:val="24"/>
        </w:rPr>
        <w:t>1.Общие положения</w:t>
      </w:r>
    </w:p>
    <w:p w14:paraId="5DF03878">
      <w:pPr>
        <w:pStyle w:val="11"/>
        <w:spacing w:line="276" w:lineRule="auto"/>
        <w:ind w:left="-284" w:firstLine="992"/>
        <w:jc w:val="center"/>
        <w:rPr>
          <w:b/>
          <w:sz w:val="24"/>
          <w:szCs w:val="24"/>
        </w:rPr>
      </w:pPr>
    </w:p>
    <w:p w14:paraId="63B34AA7">
      <w:pPr>
        <w:spacing w:line="276" w:lineRule="auto"/>
        <w:jc w:val="both"/>
        <w:rPr>
          <w:sz w:val="24"/>
          <w:szCs w:val="24"/>
        </w:rPr>
      </w:pPr>
      <w:r>
        <w:rPr>
          <w:sz w:val="24"/>
          <w:szCs w:val="24"/>
        </w:rPr>
        <w:t xml:space="preserve">       Документом, регулирующим бюджетные правоотношения в Дульдургинском муниципальном округе является Положение о бюджетном процессе в муниципальном районе «Дульдургинский район», </w:t>
      </w:r>
      <w:r>
        <w:rPr>
          <w:i/>
          <w:sz w:val="24"/>
          <w:szCs w:val="24"/>
        </w:rPr>
        <w:t xml:space="preserve">(далее – Положение о бюджетном процессе), </w:t>
      </w:r>
      <w:r>
        <w:rPr>
          <w:sz w:val="24"/>
          <w:szCs w:val="24"/>
        </w:rPr>
        <w:t xml:space="preserve">утвержденный Решением Совета муниципального района «Дульдургинский район» от 20.02.2013 г. № 19 (с изменениями  от 27.09.2018 г., от 24.11.2022г.) </w:t>
      </w:r>
    </w:p>
    <w:p w14:paraId="7043DA8E">
      <w:pPr>
        <w:spacing w:line="276" w:lineRule="auto"/>
        <w:jc w:val="both"/>
        <w:rPr>
          <w:sz w:val="24"/>
          <w:szCs w:val="24"/>
        </w:rPr>
      </w:pPr>
      <w:r>
        <w:rPr>
          <w:sz w:val="24"/>
          <w:szCs w:val="24"/>
        </w:rPr>
        <w:t xml:space="preserve">       Ответственным исполнителем по составлению проекта бюджета является Комитет по финансам администрации муниципального района «Дульдургинский район», председатель – Филиппова Е.П.</w:t>
      </w:r>
    </w:p>
    <w:p w14:paraId="76247D62">
      <w:pPr>
        <w:spacing w:line="276" w:lineRule="auto"/>
        <w:ind w:hanging="284"/>
        <w:jc w:val="both"/>
        <w:rPr>
          <w:sz w:val="24"/>
        </w:rPr>
      </w:pPr>
      <w:r>
        <w:rPr>
          <w:sz w:val="24"/>
        </w:rPr>
        <w:t xml:space="preserve">          Проект решения «О бюджете Дульдургинского</w:t>
      </w:r>
      <w:r>
        <w:rPr>
          <w:rFonts w:hint="default"/>
          <w:sz w:val="24"/>
          <w:lang w:val="ru-RU"/>
        </w:rPr>
        <w:t xml:space="preserve"> </w:t>
      </w:r>
      <w:r>
        <w:rPr>
          <w:sz w:val="24"/>
        </w:rPr>
        <w:t>муниципального округа на 2026 год и плановый период 2027 и 2028 годов», (далее – Проект бюджета) внесен администрацией Дульдургинского</w:t>
      </w:r>
      <w:r>
        <w:rPr>
          <w:rFonts w:hint="default"/>
          <w:sz w:val="24"/>
          <w:lang w:val="ru-RU"/>
        </w:rPr>
        <w:t xml:space="preserve"> </w:t>
      </w:r>
      <w:r>
        <w:rPr>
          <w:sz w:val="24"/>
        </w:rPr>
        <w:t>муниципального округа на рассмотрение в представительный орган Дульдургинского округа в установленный срок, соответствующий статье 185 Бюджетного кодекса Российской Федерации, в электронном виде и на бумажном носителе.</w:t>
      </w:r>
    </w:p>
    <w:p w14:paraId="70EB05EB">
      <w:pPr>
        <w:spacing w:line="276" w:lineRule="auto"/>
        <w:ind w:firstLine="283"/>
        <w:jc w:val="both"/>
        <w:rPr>
          <w:sz w:val="24"/>
        </w:rPr>
      </w:pPr>
      <w:r>
        <w:rPr>
          <w:sz w:val="24"/>
        </w:rPr>
        <w:t xml:space="preserve">         Предметом анализа являлся Проект бюджета, документы и материалы, предоставленные одновременно с ним, а именно: </w:t>
      </w:r>
    </w:p>
    <w:p w14:paraId="034F092D">
      <w:pPr>
        <w:numPr>
          <w:ilvl w:val="0"/>
          <w:numId w:val="1"/>
        </w:numPr>
        <w:spacing w:line="276" w:lineRule="auto"/>
        <w:jc w:val="both"/>
        <w:rPr>
          <w:sz w:val="24"/>
        </w:rPr>
      </w:pPr>
      <w:r>
        <w:rPr>
          <w:sz w:val="24"/>
        </w:rPr>
        <w:t>прогноз основных характеристик бюджета Дульдургинского муниципального округа на 2026 год и плановый период 2027 и 2028 годов;</w:t>
      </w:r>
    </w:p>
    <w:p w14:paraId="0A1FC01E">
      <w:pPr>
        <w:numPr>
          <w:ilvl w:val="0"/>
          <w:numId w:val="1"/>
        </w:numPr>
        <w:tabs>
          <w:tab w:val="left" w:pos="284"/>
        </w:tabs>
        <w:spacing w:line="276" w:lineRule="auto"/>
        <w:jc w:val="both"/>
        <w:rPr>
          <w:sz w:val="24"/>
        </w:rPr>
      </w:pPr>
      <w:r>
        <w:rPr>
          <w:sz w:val="24"/>
        </w:rPr>
        <w:t xml:space="preserve">прогноз социально-экономического развития  Дульдургинского муниципального округа на 2026 год и плановый период 2027 и 2028 годов,  </w:t>
      </w:r>
      <w:r>
        <w:rPr>
          <w:sz w:val="24"/>
          <w:lang w:val="ru-RU"/>
        </w:rPr>
        <w:t>утверждённый</w:t>
      </w:r>
      <w:r>
        <w:rPr>
          <w:sz w:val="24"/>
        </w:rPr>
        <w:t xml:space="preserve"> Распоряжением администрации муниципального района «Дульдургинский район» от  24 октября 2025 года № 152-р;</w:t>
      </w:r>
    </w:p>
    <w:p w14:paraId="7F19FE49">
      <w:pPr>
        <w:numPr>
          <w:ilvl w:val="0"/>
          <w:numId w:val="1"/>
        </w:numPr>
        <w:spacing w:line="276" w:lineRule="auto"/>
        <w:ind w:left="-84" w:firstLine="284"/>
        <w:jc w:val="both"/>
        <w:rPr>
          <w:sz w:val="24"/>
        </w:rPr>
      </w:pPr>
      <w:r>
        <w:rPr>
          <w:sz w:val="24"/>
        </w:rPr>
        <w:t>основные направления бюджетной  политики на 2026год и плановый период 2027-2028 годов Дульдургинского муниципального округа</w:t>
      </w:r>
    </w:p>
    <w:p w14:paraId="233D40FB">
      <w:pPr>
        <w:pStyle w:val="11"/>
        <w:numPr>
          <w:ilvl w:val="0"/>
          <w:numId w:val="1"/>
        </w:numPr>
        <w:spacing w:line="276" w:lineRule="auto"/>
        <w:jc w:val="both"/>
        <w:rPr>
          <w:sz w:val="24"/>
        </w:rPr>
      </w:pPr>
      <w:r>
        <w:rPr>
          <w:sz w:val="24"/>
        </w:rPr>
        <w:t xml:space="preserve"> пояснительная записка к проекту бюджета;</w:t>
      </w:r>
    </w:p>
    <w:p w14:paraId="7FF29B4C">
      <w:pPr>
        <w:pStyle w:val="11"/>
        <w:numPr>
          <w:ilvl w:val="0"/>
          <w:numId w:val="1"/>
        </w:numPr>
        <w:spacing w:line="276" w:lineRule="auto"/>
        <w:jc w:val="both"/>
        <w:rPr>
          <w:sz w:val="24"/>
        </w:rPr>
      </w:pPr>
      <w:r>
        <w:rPr>
          <w:sz w:val="24"/>
        </w:rPr>
        <w:t>верхний предел муниципального внутреннего долга на 1 января 2027 года, 1 января 2028 года и 1 января 2029 года;</w:t>
      </w:r>
    </w:p>
    <w:p w14:paraId="193CA2B4">
      <w:pPr>
        <w:pStyle w:val="11"/>
        <w:numPr>
          <w:ilvl w:val="0"/>
          <w:numId w:val="1"/>
        </w:numPr>
        <w:spacing w:line="276" w:lineRule="auto"/>
        <w:jc w:val="both"/>
        <w:rPr>
          <w:sz w:val="24"/>
        </w:rPr>
      </w:pPr>
      <w:r>
        <w:rPr>
          <w:sz w:val="24"/>
        </w:rPr>
        <w:t>программа муниципальных внутренних заимствований Дульдургинского муниципального округа на 2026 и плановый период 2027-2028 годы;</w:t>
      </w:r>
    </w:p>
    <w:p w14:paraId="463AA30A">
      <w:pPr>
        <w:pStyle w:val="11"/>
        <w:numPr>
          <w:ilvl w:val="0"/>
          <w:numId w:val="1"/>
        </w:numPr>
        <w:spacing w:line="276" w:lineRule="auto"/>
        <w:jc w:val="both"/>
        <w:rPr>
          <w:sz w:val="24"/>
        </w:rPr>
      </w:pPr>
      <w:r>
        <w:rPr>
          <w:sz w:val="24"/>
        </w:rPr>
        <w:t>программа муниципальных гарантий Дульдургинского округа  на 2026год и плановый период 2027 и 2028 годов;</w:t>
      </w:r>
    </w:p>
    <w:p w14:paraId="1C67DE12">
      <w:pPr>
        <w:pStyle w:val="11"/>
        <w:numPr>
          <w:ilvl w:val="0"/>
          <w:numId w:val="1"/>
        </w:numPr>
        <w:spacing w:line="276" w:lineRule="auto"/>
        <w:jc w:val="both"/>
        <w:rPr>
          <w:sz w:val="24"/>
        </w:rPr>
      </w:pPr>
      <w:r>
        <w:rPr>
          <w:sz w:val="24"/>
        </w:rPr>
        <w:t>реестр источников доходов бюджета;</w:t>
      </w:r>
    </w:p>
    <w:p w14:paraId="57BF1A2D">
      <w:pPr>
        <w:pStyle w:val="11"/>
        <w:numPr>
          <w:ilvl w:val="0"/>
          <w:numId w:val="1"/>
        </w:numPr>
        <w:spacing w:line="276" w:lineRule="auto"/>
        <w:jc w:val="both"/>
        <w:rPr>
          <w:sz w:val="24"/>
        </w:rPr>
      </w:pPr>
      <w:r>
        <w:rPr>
          <w:sz w:val="24"/>
        </w:rPr>
        <w:t xml:space="preserve"> оценка ожидаемого исполнения бюджета  на текущий финансовый год;</w:t>
      </w:r>
    </w:p>
    <w:p w14:paraId="54EECE00">
      <w:pPr>
        <w:pStyle w:val="8"/>
        <w:shd w:val="clear" w:color="auto" w:fill="auto"/>
        <w:tabs>
          <w:tab w:val="left" w:pos="426"/>
        </w:tabs>
        <w:spacing w:before="0" w:after="0" w:line="276" w:lineRule="auto"/>
        <w:ind w:left="0" w:leftChars="0" w:right="20" w:firstLine="480" w:firstLineChars="200"/>
        <w:jc w:val="both"/>
        <w:rPr>
          <w:rFonts w:ascii="Times New Roman" w:hAnsi="Times New Roman"/>
          <w:sz w:val="24"/>
          <w:szCs w:val="24"/>
        </w:rPr>
      </w:pPr>
      <w:r>
        <w:rPr>
          <w:rFonts w:ascii="Times New Roman" w:hAnsi="Times New Roman"/>
          <w:sz w:val="24"/>
          <w:szCs w:val="24"/>
        </w:rPr>
        <w:t>Целью проведения анализа являлось определение достоверности и обоснованности показателей формирования Проекта бюджета, в том числе:</w:t>
      </w:r>
    </w:p>
    <w:p w14:paraId="6861BAB4">
      <w:pPr>
        <w:pStyle w:val="8"/>
        <w:shd w:val="clear" w:color="auto" w:fill="auto"/>
        <w:tabs>
          <w:tab w:val="left" w:pos="990"/>
        </w:tabs>
        <w:spacing w:before="0" w:after="0" w:line="276" w:lineRule="auto"/>
        <w:ind w:right="20"/>
        <w:jc w:val="both"/>
        <w:rPr>
          <w:rFonts w:ascii="Times New Roman" w:hAnsi="Times New Roman"/>
          <w:sz w:val="24"/>
          <w:szCs w:val="24"/>
        </w:rPr>
      </w:pPr>
      <w:r>
        <w:rPr>
          <w:rFonts w:ascii="Times New Roman" w:hAnsi="Times New Roman"/>
          <w:sz w:val="24"/>
          <w:szCs w:val="24"/>
        </w:rPr>
        <w:t xml:space="preserve">             -анализ доходных статей Проекта бюджета, наличие и соблюдение нормативных правовых актов, используемых при расчётах по статьям классификации доходов бюджета;</w:t>
      </w:r>
    </w:p>
    <w:p w14:paraId="08446A07">
      <w:pPr>
        <w:pStyle w:val="8"/>
        <w:shd w:val="clear" w:color="auto" w:fill="auto"/>
        <w:tabs>
          <w:tab w:val="left" w:pos="990"/>
        </w:tabs>
        <w:spacing w:before="0" w:after="0" w:line="276" w:lineRule="auto"/>
        <w:ind w:right="20" w:hanging="284"/>
        <w:jc w:val="both"/>
        <w:rPr>
          <w:rFonts w:ascii="Times New Roman" w:hAnsi="Times New Roman"/>
          <w:sz w:val="24"/>
          <w:szCs w:val="24"/>
        </w:rPr>
      </w:pPr>
      <w:r>
        <w:rPr>
          <w:rFonts w:ascii="Times New Roman" w:hAnsi="Times New Roman"/>
          <w:sz w:val="24"/>
          <w:szCs w:val="24"/>
        </w:rPr>
        <w:t xml:space="preserve">                 -анализ расходных статей Проекта бюджета в разрезе разделов функциональной классификации расходов и главных распорядителей бюджетных средств;</w:t>
      </w:r>
    </w:p>
    <w:p w14:paraId="5A72E9CF">
      <w:pPr>
        <w:tabs>
          <w:tab w:val="decimal" w:pos="426"/>
        </w:tabs>
        <w:spacing w:line="276" w:lineRule="auto"/>
        <w:ind w:hanging="567"/>
        <w:jc w:val="both"/>
        <w:rPr>
          <w:rFonts w:hint="default"/>
          <w:sz w:val="24"/>
          <w:szCs w:val="24"/>
          <w:lang w:val="ru-RU"/>
        </w:rPr>
      </w:pPr>
      <w:r>
        <w:rPr>
          <w:rFonts w:ascii="Times New Roman" w:hAnsi="Times New Roman"/>
          <w:sz w:val="24"/>
          <w:szCs w:val="24"/>
        </w:rPr>
        <w:t xml:space="preserve">        -анализ предельного объёма муниципального долга и предельного объёма расходов на его обслуживание.</w:t>
      </w:r>
      <w:r>
        <w:rPr>
          <w:rFonts w:hint="default"/>
          <w:sz w:val="24"/>
          <w:szCs w:val="24"/>
          <w:lang w:val="ru-RU"/>
        </w:rPr>
        <w:t xml:space="preserve"> </w:t>
      </w:r>
    </w:p>
    <w:p w14:paraId="5C26CD7B">
      <w:pPr>
        <w:tabs>
          <w:tab w:val="decimal" w:pos="426"/>
        </w:tabs>
        <w:spacing w:line="276" w:lineRule="auto"/>
        <w:ind w:left="66" w:leftChars="33" w:firstLine="415" w:firstLineChars="173"/>
        <w:jc w:val="both"/>
        <w:rPr>
          <w:rFonts w:hint="default"/>
          <w:sz w:val="24"/>
          <w:highlight w:val="yellow"/>
        </w:rPr>
      </w:pPr>
      <w:r>
        <w:rPr>
          <w:sz w:val="24"/>
          <w:highlight w:val="none"/>
        </w:rPr>
        <w:t>В целях соблюдения положений ст.36 Бюджетного кодекса РФ об обязательной открытости для общества и средств массовой информации проектов бюджетов, внесенных в законодательные (представительные) органы государственной власти, проект закона размещен на официальном сайте Дульдургинск</w:t>
      </w:r>
      <w:r>
        <w:rPr>
          <w:rFonts w:hint="default"/>
          <w:sz w:val="24"/>
          <w:highlight w:val="none"/>
          <w:lang w:val="ru-RU"/>
        </w:rPr>
        <w:t>ого</w:t>
      </w:r>
      <w:r>
        <w:rPr>
          <w:sz w:val="24"/>
          <w:highlight w:val="none"/>
        </w:rPr>
        <w:t xml:space="preserve"> муниципального </w:t>
      </w:r>
      <w:r>
        <w:rPr>
          <w:sz w:val="24"/>
          <w:highlight w:val="none"/>
          <w:lang w:val="ru-RU"/>
        </w:rPr>
        <w:t>округа</w:t>
      </w:r>
      <w:r>
        <w:rPr>
          <w:sz w:val="24"/>
          <w:highlight w:val="none"/>
        </w:rPr>
        <w:t xml:space="preserve"> - </w:t>
      </w:r>
      <w:r>
        <w:rPr>
          <w:sz w:val="24"/>
          <w:highlight w:val="none"/>
        </w:rPr>
        <w:fldChar w:fldCharType="begin"/>
      </w:r>
      <w:r>
        <w:rPr>
          <w:sz w:val="24"/>
          <w:highlight w:val="none"/>
        </w:rPr>
        <w:instrText xml:space="preserve"> HYPERLINK "http://duldurga75.ru." </w:instrText>
      </w:r>
      <w:r>
        <w:rPr>
          <w:sz w:val="24"/>
          <w:highlight w:val="none"/>
        </w:rPr>
        <w:fldChar w:fldCharType="separate"/>
      </w:r>
      <w:r>
        <w:rPr>
          <w:rStyle w:val="5"/>
          <w:sz w:val="24"/>
          <w:highlight w:val="none"/>
        </w:rPr>
        <w:t>http://duldurga75.ru.</w:t>
      </w:r>
      <w:r>
        <w:rPr>
          <w:sz w:val="24"/>
          <w:highlight w:val="none"/>
        </w:rPr>
        <w:fldChar w:fldCharType="end"/>
      </w:r>
    </w:p>
    <w:p w14:paraId="2C201DF2">
      <w:pPr>
        <w:pStyle w:val="11"/>
        <w:tabs>
          <w:tab w:val="left" w:pos="400"/>
        </w:tabs>
        <w:spacing w:line="276" w:lineRule="auto"/>
        <w:ind w:left="0"/>
        <w:rPr>
          <w:rFonts w:hint="default"/>
          <w:sz w:val="24"/>
          <w:szCs w:val="24"/>
          <w:highlight w:val="none"/>
          <w:lang w:val="ru-RU"/>
        </w:rPr>
      </w:pPr>
      <w:r>
        <w:rPr>
          <w:sz w:val="24"/>
        </w:rPr>
        <w:t xml:space="preserve">       </w:t>
      </w:r>
      <w:r>
        <w:rPr>
          <w:rFonts w:hint="default"/>
          <w:sz w:val="24"/>
          <w:szCs w:val="24"/>
          <w:highlight w:val="none"/>
          <w:lang w:val="ru-RU"/>
        </w:rPr>
        <w:t>В соответствии с Федеральными законами от 20.03.2025 № 33-ФЗ «Об общих принципах организации местного самоуправления в единой системе публичной власти», Законом Забайкальского края от «28» декабря 2024 года № 2473-ЗЗК «О преобразовании всех поселений, входящих в состав муниципального района «Дульдургинский район» Забайкальского края, в Дульдургинский муниципальный округ Забайкальского края», Уставом Дульдургинского муниципального округа,</w:t>
      </w:r>
      <w:r>
        <w:rPr>
          <w:sz w:val="24"/>
          <w:szCs w:val="24"/>
          <w:highlight w:val="none"/>
        </w:rPr>
        <w:t>принято Решение Совета</w:t>
      </w:r>
      <w:r>
        <w:rPr>
          <w:rFonts w:hint="default"/>
          <w:sz w:val="24"/>
          <w:szCs w:val="24"/>
          <w:highlight w:val="none"/>
          <w:lang w:val="en-US"/>
        </w:rPr>
        <w:t xml:space="preserve"> </w:t>
      </w:r>
      <w:r>
        <w:rPr>
          <w:sz w:val="24"/>
          <w:szCs w:val="24"/>
          <w:highlight w:val="none"/>
        </w:rPr>
        <w:t>Дульдургинск</w:t>
      </w:r>
      <w:r>
        <w:rPr>
          <w:rFonts w:hint="default"/>
          <w:sz w:val="24"/>
          <w:szCs w:val="24"/>
          <w:highlight w:val="none"/>
          <w:lang w:val="ru-RU"/>
        </w:rPr>
        <w:t>ого</w:t>
      </w:r>
      <w:r>
        <w:rPr>
          <w:sz w:val="24"/>
          <w:szCs w:val="24"/>
          <w:highlight w:val="none"/>
        </w:rPr>
        <w:t xml:space="preserve"> муниципального</w:t>
      </w:r>
      <w:r>
        <w:rPr>
          <w:rFonts w:hint="default"/>
          <w:sz w:val="24"/>
          <w:szCs w:val="24"/>
          <w:highlight w:val="none"/>
          <w:lang w:val="ru-RU"/>
        </w:rPr>
        <w:t xml:space="preserve"> </w:t>
      </w:r>
      <w:r>
        <w:rPr>
          <w:sz w:val="24"/>
          <w:szCs w:val="24"/>
          <w:highlight w:val="none"/>
        </w:rPr>
        <w:t xml:space="preserve">  о</w:t>
      </w:r>
      <w:r>
        <w:rPr>
          <w:sz w:val="24"/>
          <w:szCs w:val="24"/>
          <w:highlight w:val="none"/>
          <w:lang w:val="ru-RU"/>
        </w:rPr>
        <w:t>круга</w:t>
      </w:r>
      <w:r>
        <w:rPr>
          <w:sz w:val="24"/>
          <w:szCs w:val="24"/>
          <w:highlight w:val="none"/>
        </w:rPr>
        <w:t xml:space="preserve">  </w:t>
      </w:r>
      <w:r>
        <w:rPr>
          <w:sz w:val="24"/>
          <w:szCs w:val="24"/>
          <w:highlight w:val="none"/>
          <w:lang w:val="ru-RU"/>
        </w:rPr>
        <w:t>о</w:t>
      </w:r>
      <w:r>
        <w:rPr>
          <w:rFonts w:hint="default"/>
          <w:sz w:val="24"/>
          <w:szCs w:val="24"/>
          <w:highlight w:val="none"/>
          <w:lang w:val="ru-RU"/>
        </w:rPr>
        <w:t xml:space="preserve"> </w:t>
      </w:r>
      <w:r>
        <w:rPr>
          <w:sz w:val="24"/>
          <w:szCs w:val="24"/>
          <w:highlight w:val="none"/>
        </w:rPr>
        <w:t xml:space="preserve">проведении публичных слушаний по проекту бюджета муниципального </w:t>
      </w:r>
      <w:r>
        <w:rPr>
          <w:sz w:val="24"/>
          <w:szCs w:val="24"/>
          <w:highlight w:val="none"/>
          <w:lang w:val="ru-RU"/>
        </w:rPr>
        <w:t>округа</w:t>
      </w:r>
      <w:r>
        <w:rPr>
          <w:rFonts w:hint="default"/>
          <w:sz w:val="24"/>
          <w:szCs w:val="24"/>
          <w:highlight w:val="none"/>
          <w:lang w:val="ru-RU"/>
        </w:rPr>
        <w:t xml:space="preserve"> </w:t>
      </w:r>
      <w:r>
        <w:rPr>
          <w:sz w:val="24"/>
          <w:szCs w:val="24"/>
          <w:highlight w:val="none"/>
        </w:rPr>
        <w:t>на 202</w:t>
      </w:r>
      <w:r>
        <w:rPr>
          <w:rFonts w:hint="default"/>
          <w:sz w:val="24"/>
          <w:szCs w:val="24"/>
          <w:highlight w:val="none"/>
          <w:lang w:val="ru-RU"/>
        </w:rPr>
        <w:t>6</w:t>
      </w:r>
      <w:r>
        <w:rPr>
          <w:sz w:val="24"/>
          <w:szCs w:val="24"/>
          <w:highlight w:val="none"/>
        </w:rPr>
        <w:t xml:space="preserve"> год и плановый период 202</w:t>
      </w:r>
      <w:r>
        <w:rPr>
          <w:rFonts w:hint="default"/>
          <w:sz w:val="24"/>
          <w:szCs w:val="24"/>
          <w:highlight w:val="none"/>
          <w:lang w:val="ru-RU"/>
        </w:rPr>
        <w:t>7</w:t>
      </w:r>
      <w:r>
        <w:rPr>
          <w:sz w:val="24"/>
          <w:szCs w:val="24"/>
          <w:highlight w:val="none"/>
        </w:rPr>
        <w:t xml:space="preserve"> и 202</w:t>
      </w:r>
      <w:r>
        <w:rPr>
          <w:rFonts w:hint="default"/>
          <w:sz w:val="24"/>
          <w:szCs w:val="24"/>
          <w:highlight w:val="none"/>
          <w:lang w:val="ru-RU"/>
        </w:rPr>
        <w:t>8</w:t>
      </w:r>
      <w:r>
        <w:rPr>
          <w:sz w:val="24"/>
          <w:szCs w:val="24"/>
          <w:highlight w:val="none"/>
        </w:rPr>
        <w:t xml:space="preserve"> годов  </w:t>
      </w:r>
      <w:r>
        <w:rPr>
          <w:rFonts w:hint="default"/>
          <w:sz w:val="24"/>
          <w:szCs w:val="24"/>
          <w:highlight w:val="none"/>
        </w:rPr>
        <w:t xml:space="preserve"> 2</w:t>
      </w:r>
      <w:r>
        <w:rPr>
          <w:rFonts w:hint="default"/>
          <w:sz w:val="24"/>
          <w:szCs w:val="24"/>
          <w:highlight w:val="none"/>
          <w:lang w:val="ru-RU"/>
        </w:rPr>
        <w:t>0</w:t>
      </w:r>
      <w:r>
        <w:rPr>
          <w:rFonts w:hint="default"/>
          <w:sz w:val="24"/>
          <w:szCs w:val="24"/>
          <w:highlight w:val="none"/>
        </w:rPr>
        <w:t xml:space="preserve"> декабря 2025г. в </w:t>
      </w:r>
      <w:r>
        <w:rPr>
          <w:rFonts w:hint="default"/>
          <w:sz w:val="24"/>
          <w:szCs w:val="24"/>
          <w:highlight w:val="none"/>
          <w:lang w:val="ru-RU"/>
        </w:rPr>
        <w:t>здании</w:t>
      </w:r>
      <w:r>
        <w:rPr>
          <w:rFonts w:hint="default"/>
          <w:sz w:val="24"/>
          <w:szCs w:val="24"/>
          <w:highlight w:val="none"/>
        </w:rPr>
        <w:t xml:space="preserve"> администрации Дульдургинского муниципального округа.</w:t>
      </w:r>
    </w:p>
    <w:p w14:paraId="59FB887B">
      <w:pPr>
        <w:spacing w:line="276" w:lineRule="auto"/>
        <w:ind w:left="0" w:leftChars="0" w:firstLine="371" w:firstLineChars="0"/>
        <w:jc w:val="both"/>
        <w:rPr>
          <w:sz w:val="24"/>
          <w:highlight w:val="none"/>
        </w:rPr>
      </w:pPr>
      <w:r>
        <w:rPr>
          <w:sz w:val="24"/>
          <w:highlight w:val="none"/>
        </w:rPr>
        <w:t>Министерством финансов Забайкальского края рассмотрен  проект бюджета Дульдургинского</w:t>
      </w:r>
      <w:r>
        <w:rPr>
          <w:rFonts w:hint="default"/>
          <w:sz w:val="24"/>
          <w:highlight w:val="none"/>
          <w:lang w:val="ru-RU"/>
        </w:rPr>
        <w:t xml:space="preserve"> </w:t>
      </w:r>
      <w:r>
        <w:rPr>
          <w:sz w:val="24"/>
          <w:highlight w:val="none"/>
        </w:rPr>
        <w:t>муниципального округа на 2026 год  и плановый период 2027 и 2028 годов на соответствие требованиям бюджетного законодательства Российской Федерации.  По результатам рассмотрения проекта бюджета   принято заключение об увеличении в проекте бюджета прогноза поступления доходов</w:t>
      </w:r>
      <w:r>
        <w:rPr>
          <w:rFonts w:hint="default"/>
          <w:sz w:val="24"/>
          <w:highlight w:val="none"/>
          <w:lang w:val="ru-RU"/>
        </w:rPr>
        <w:t xml:space="preserve"> и безвозмездных поступлений.</w:t>
      </w:r>
      <w:r>
        <w:rPr>
          <w:sz w:val="24"/>
          <w:highlight w:val="none"/>
        </w:rPr>
        <w:t xml:space="preserve"> </w:t>
      </w:r>
      <w:r>
        <w:rPr>
          <w:sz w:val="24"/>
          <w:szCs w:val="24"/>
          <w:highlight w:val="none"/>
        </w:rPr>
        <w:t>Комитетом по финансам проведена работа по внесению изменений в Проект</w:t>
      </w:r>
      <w:r>
        <w:rPr>
          <w:sz w:val="24"/>
          <w:highlight w:val="none"/>
        </w:rPr>
        <w:t xml:space="preserve"> бюджета Дульдургинск</w:t>
      </w:r>
      <w:r>
        <w:rPr>
          <w:sz w:val="24"/>
          <w:highlight w:val="none"/>
          <w:lang w:val="ru-RU"/>
        </w:rPr>
        <w:t>ого</w:t>
      </w:r>
      <w:r>
        <w:rPr>
          <w:rFonts w:hint="default"/>
          <w:sz w:val="24"/>
          <w:highlight w:val="none"/>
          <w:lang w:val="ru-RU"/>
        </w:rPr>
        <w:t xml:space="preserve"> </w:t>
      </w:r>
      <w:r>
        <w:rPr>
          <w:sz w:val="24"/>
          <w:highlight w:val="none"/>
        </w:rPr>
        <w:t xml:space="preserve">муниципального </w:t>
      </w:r>
      <w:r>
        <w:rPr>
          <w:sz w:val="24"/>
          <w:highlight w:val="none"/>
          <w:lang w:val="ru-RU"/>
        </w:rPr>
        <w:t>округа</w:t>
      </w:r>
      <w:r>
        <w:rPr>
          <w:sz w:val="24"/>
          <w:highlight w:val="none"/>
        </w:rPr>
        <w:t xml:space="preserve">  на 202</w:t>
      </w:r>
      <w:r>
        <w:rPr>
          <w:rFonts w:hint="default"/>
          <w:sz w:val="24"/>
          <w:highlight w:val="none"/>
          <w:lang w:val="ru-RU"/>
        </w:rPr>
        <w:t>6</w:t>
      </w:r>
      <w:r>
        <w:rPr>
          <w:sz w:val="24"/>
          <w:highlight w:val="none"/>
        </w:rPr>
        <w:t xml:space="preserve"> год  и плановый период 202</w:t>
      </w:r>
      <w:r>
        <w:rPr>
          <w:rFonts w:hint="default"/>
          <w:sz w:val="24"/>
          <w:highlight w:val="none"/>
          <w:lang w:val="ru-RU"/>
        </w:rPr>
        <w:t>7</w:t>
      </w:r>
      <w:r>
        <w:rPr>
          <w:sz w:val="24"/>
          <w:highlight w:val="none"/>
        </w:rPr>
        <w:t xml:space="preserve"> и 202</w:t>
      </w:r>
      <w:r>
        <w:rPr>
          <w:rFonts w:hint="default"/>
          <w:sz w:val="24"/>
          <w:highlight w:val="none"/>
          <w:lang w:val="ru-RU"/>
        </w:rPr>
        <w:t>8</w:t>
      </w:r>
      <w:r>
        <w:rPr>
          <w:sz w:val="24"/>
          <w:highlight w:val="none"/>
        </w:rPr>
        <w:t xml:space="preserve"> годов. Экспертиза Проекта бюджета проведена с </w:t>
      </w:r>
      <w:r>
        <w:rPr>
          <w:sz w:val="24"/>
          <w:highlight w:val="none"/>
          <w:lang w:val="ru-RU"/>
        </w:rPr>
        <w:t>учётом</w:t>
      </w:r>
      <w:r>
        <w:rPr>
          <w:sz w:val="24"/>
          <w:highlight w:val="none"/>
        </w:rPr>
        <w:t xml:space="preserve"> </w:t>
      </w:r>
      <w:r>
        <w:rPr>
          <w:sz w:val="24"/>
          <w:highlight w:val="none"/>
          <w:lang w:val="ru-RU"/>
        </w:rPr>
        <w:t>внесённых</w:t>
      </w:r>
      <w:r>
        <w:rPr>
          <w:sz w:val="24"/>
          <w:highlight w:val="none"/>
        </w:rPr>
        <w:t xml:space="preserve"> поправок в Проект бюджета.</w:t>
      </w:r>
    </w:p>
    <w:p w14:paraId="6D9AC4C3">
      <w:pPr>
        <w:pStyle w:val="25"/>
        <w:keepNext/>
        <w:keepLines/>
        <w:shd w:val="clear" w:color="auto" w:fill="auto"/>
        <w:spacing w:before="0" w:after="300" w:line="276" w:lineRule="auto"/>
        <w:ind w:left="142" w:right="360" w:firstLine="0"/>
        <w:jc w:val="center"/>
        <w:rPr>
          <w:rFonts w:ascii="Times New Roman" w:hAnsi="Times New Roman"/>
          <w:sz w:val="24"/>
          <w:szCs w:val="24"/>
        </w:rPr>
      </w:pPr>
      <w:bookmarkStart w:id="0" w:name="bookmark3"/>
      <w:r>
        <w:rPr>
          <w:rFonts w:ascii="Times New Roman" w:hAnsi="Times New Roman"/>
          <w:sz w:val="24"/>
          <w:szCs w:val="24"/>
        </w:rPr>
        <w:t>2.Параметры прогноза исходных экономических показателей для составления Проекта бюджета</w:t>
      </w:r>
      <w:bookmarkEnd w:id="0"/>
    </w:p>
    <w:p w14:paraId="1E3FB01D">
      <w:pPr>
        <w:pStyle w:val="8"/>
        <w:shd w:val="clear" w:color="auto" w:fill="auto"/>
        <w:tabs>
          <w:tab w:val="center" w:pos="426"/>
        </w:tabs>
        <w:spacing w:before="0" w:after="0" w:line="276" w:lineRule="auto"/>
        <w:ind w:right="20" w:hanging="284"/>
        <w:jc w:val="both"/>
        <w:rPr>
          <w:rFonts w:ascii="Times New Roman" w:hAnsi="Times New Roman"/>
          <w:sz w:val="24"/>
          <w:szCs w:val="24"/>
        </w:rPr>
      </w:pPr>
      <w:r>
        <w:rPr>
          <w:rFonts w:ascii="Times New Roman" w:hAnsi="Times New Roman"/>
          <w:sz w:val="24"/>
          <w:szCs w:val="24"/>
        </w:rPr>
        <w:t xml:space="preserve">          Прогноз социально-экономического развития</w:t>
      </w:r>
      <w:r>
        <w:rPr>
          <w:rFonts w:hint="default" w:ascii="Times New Roman" w:hAnsi="Times New Roman"/>
          <w:sz w:val="24"/>
          <w:szCs w:val="24"/>
          <w:lang w:val="ru-RU"/>
        </w:rPr>
        <w:t xml:space="preserve"> </w:t>
      </w:r>
      <w:r>
        <w:rPr>
          <w:rFonts w:hint="default" w:ascii="Times New Roman" w:hAnsi="Times New Roman" w:cs="Times New Roman"/>
          <w:sz w:val="24"/>
          <w:szCs w:val="24"/>
          <w:highlight w:val="none"/>
          <w:lang w:val="ru-RU"/>
        </w:rPr>
        <w:t>Дульдургинского муниципального округа</w:t>
      </w:r>
      <w:r>
        <w:rPr>
          <w:rFonts w:ascii="Times New Roman" w:hAnsi="Times New Roman"/>
          <w:sz w:val="24"/>
          <w:szCs w:val="24"/>
        </w:rPr>
        <w:t xml:space="preserve">  на 2026 год и плановый период 2027 и 2028 годов (далее - Прогноз социально- экономического развития) представлен в установленные сроки.</w:t>
      </w:r>
    </w:p>
    <w:p w14:paraId="0C5401DC">
      <w:pPr>
        <w:pStyle w:val="8"/>
        <w:shd w:val="clear" w:color="auto" w:fill="auto"/>
        <w:spacing w:before="0" w:after="0" w:line="276" w:lineRule="auto"/>
        <w:ind w:right="20" w:firstLine="283"/>
        <w:jc w:val="both"/>
        <w:rPr>
          <w:rFonts w:ascii="Times New Roman" w:hAnsi="Times New Roman"/>
          <w:sz w:val="24"/>
          <w:szCs w:val="24"/>
          <w:highlight w:val="none"/>
        </w:rPr>
      </w:pPr>
      <w:r>
        <w:rPr>
          <w:rFonts w:ascii="Times New Roman" w:hAnsi="Times New Roman"/>
          <w:sz w:val="24"/>
          <w:szCs w:val="24"/>
        </w:rPr>
        <w:t>Прогноз социально-экономического развития утвержден Распоряжением администрации муниципального района «Дульдургинский район» от 24.10.2025г  № 152-ра и размещён на официальном сайте Дульдургинск</w:t>
      </w:r>
      <w:r>
        <w:rPr>
          <w:rFonts w:ascii="Times New Roman" w:hAnsi="Times New Roman"/>
          <w:sz w:val="24"/>
          <w:szCs w:val="24"/>
          <w:lang w:val="ru-RU"/>
        </w:rPr>
        <w:t>ого</w:t>
      </w:r>
      <w:r>
        <w:rPr>
          <w:rFonts w:hint="default" w:ascii="Times New Roman" w:hAnsi="Times New Roman"/>
          <w:sz w:val="24"/>
          <w:szCs w:val="24"/>
          <w:lang w:val="ru-RU"/>
        </w:rPr>
        <w:t xml:space="preserve"> </w:t>
      </w:r>
      <w:r>
        <w:rPr>
          <w:rFonts w:ascii="Times New Roman" w:hAnsi="Times New Roman"/>
          <w:sz w:val="24"/>
          <w:szCs w:val="24"/>
        </w:rPr>
        <w:t xml:space="preserve">муниципального </w:t>
      </w:r>
      <w:r>
        <w:rPr>
          <w:rFonts w:ascii="Times New Roman" w:hAnsi="Times New Roman"/>
          <w:sz w:val="24"/>
          <w:szCs w:val="24"/>
          <w:lang w:val="ru-RU"/>
        </w:rPr>
        <w:t>округа</w:t>
      </w:r>
      <w:r>
        <w:rPr>
          <w:rFonts w:ascii="Times New Roman" w:hAnsi="Times New Roman"/>
          <w:sz w:val="24"/>
          <w:szCs w:val="24"/>
        </w:rPr>
        <w:t xml:space="preserve">  (</w:t>
      </w:r>
      <w:r>
        <w:fldChar w:fldCharType="begin"/>
      </w:r>
      <w:r>
        <w:instrText xml:space="preserve"> HYPERLINK "http://duldurga75" </w:instrText>
      </w:r>
      <w:r>
        <w:fldChar w:fldCharType="separate"/>
      </w:r>
      <w:r>
        <w:rPr>
          <w:rStyle w:val="5"/>
          <w:rFonts w:ascii="Times New Roman" w:hAnsi="Times New Roman"/>
          <w:sz w:val="24"/>
          <w:szCs w:val="24"/>
        </w:rPr>
        <w:t>http://duldurga75</w:t>
      </w:r>
      <w:r>
        <w:rPr>
          <w:rStyle w:val="5"/>
          <w:rFonts w:ascii="Times New Roman" w:hAnsi="Times New Roman"/>
          <w:sz w:val="24"/>
          <w:szCs w:val="24"/>
        </w:rPr>
        <w:fldChar w:fldCharType="end"/>
      </w:r>
      <w:r>
        <w:rPr>
          <w:rFonts w:ascii="Times New Roman" w:hAnsi="Times New Roman"/>
          <w:sz w:val="24"/>
          <w:szCs w:val="24"/>
        </w:rPr>
        <w:t>. ru</w:t>
      </w:r>
      <w:r>
        <w:rPr>
          <w:rFonts w:ascii="Times New Roman" w:hAnsi="Times New Roman"/>
          <w:sz w:val="24"/>
          <w:szCs w:val="24"/>
          <w:highlight w:val="none"/>
        </w:rPr>
        <w:t>.), что соответствует требованиям статьи 36 БК РФ.</w:t>
      </w:r>
    </w:p>
    <w:p w14:paraId="0DD806AD">
      <w:pPr>
        <w:pStyle w:val="8"/>
        <w:shd w:val="clear" w:color="auto" w:fill="auto"/>
        <w:spacing w:before="0" w:after="0" w:line="276" w:lineRule="auto"/>
        <w:ind w:right="20" w:hanging="2288"/>
        <w:jc w:val="both"/>
        <w:rPr>
          <w:rFonts w:ascii="Times New Roman" w:hAnsi="Times New Roman"/>
          <w:sz w:val="24"/>
          <w:szCs w:val="24"/>
          <w:highlight w:val="none"/>
        </w:rPr>
      </w:pPr>
      <w:r>
        <w:rPr>
          <w:rFonts w:ascii="Times New Roman" w:hAnsi="Times New Roman"/>
          <w:sz w:val="24"/>
          <w:szCs w:val="24"/>
          <w:highlight w:val="none"/>
        </w:rPr>
        <w:t>Про                         Прогноз социально-экономического развития разработан на трехлетний период, что соответствует требованиям статьи 173 БК РФ.</w:t>
      </w:r>
    </w:p>
    <w:p w14:paraId="3384E5B4">
      <w:pPr>
        <w:tabs>
          <w:tab w:val="left" w:pos="284"/>
          <w:tab w:val="left" w:pos="567"/>
        </w:tabs>
        <w:spacing w:line="276" w:lineRule="auto"/>
        <w:ind w:hanging="1437"/>
        <w:jc w:val="both"/>
        <w:rPr>
          <w:sz w:val="24"/>
        </w:rPr>
      </w:pPr>
      <w:r>
        <w:rPr>
          <w:sz w:val="24"/>
        </w:rPr>
        <w:t xml:space="preserve">                             Прогноз разработан в двух вариантах: вариант 1 (консервативный), вариант 2 (базовый). В качестве основного варианта  для </w:t>
      </w:r>
      <w:r>
        <w:rPr>
          <w:sz w:val="24"/>
          <w:szCs w:val="24"/>
        </w:rPr>
        <w:t xml:space="preserve">бюджетного планирования </w:t>
      </w:r>
      <w:r>
        <w:rPr>
          <w:sz w:val="24"/>
        </w:rPr>
        <w:t>рассмотрен вариант 2 (базовый) Прогноза.</w:t>
      </w:r>
    </w:p>
    <w:p w14:paraId="0C6CEF7A">
      <w:pPr>
        <w:pStyle w:val="8"/>
        <w:shd w:val="clear" w:color="auto" w:fill="auto"/>
        <w:tabs>
          <w:tab w:val="left" w:pos="-284"/>
          <w:tab w:val="center" w:pos="284"/>
        </w:tabs>
        <w:spacing w:before="0" w:after="0" w:line="276" w:lineRule="auto"/>
        <w:ind w:right="20" w:hanging="1154"/>
        <w:jc w:val="both"/>
        <w:rPr>
          <w:rFonts w:ascii="Times New Roman" w:hAnsi="Times New Roman"/>
          <w:sz w:val="24"/>
          <w:szCs w:val="24"/>
        </w:rPr>
      </w:pPr>
      <w:r>
        <w:rPr>
          <w:rFonts w:ascii="Times New Roman" w:hAnsi="Times New Roman"/>
          <w:sz w:val="24"/>
          <w:szCs w:val="24"/>
        </w:rPr>
        <w:t xml:space="preserve">                       На основе сопоставления итоговых показателей социально- экономического развития муниципального района «Дульдургинский район»  за 2023-2024 год, текущий период 2025 года с показателями прогноза социально-экономического развития муниципального </w:t>
      </w:r>
      <w:r>
        <w:rPr>
          <w:rFonts w:ascii="Times New Roman" w:hAnsi="Times New Roman"/>
          <w:sz w:val="24"/>
          <w:szCs w:val="24"/>
          <w:lang w:val="ru-RU"/>
        </w:rPr>
        <w:t>округа</w:t>
      </w:r>
      <w:r>
        <w:rPr>
          <w:rFonts w:hint="default" w:ascii="Times New Roman" w:hAnsi="Times New Roman"/>
          <w:sz w:val="24"/>
          <w:szCs w:val="24"/>
          <w:lang w:val="ru-RU"/>
        </w:rPr>
        <w:t xml:space="preserve"> </w:t>
      </w:r>
      <w:r>
        <w:rPr>
          <w:rFonts w:ascii="Times New Roman" w:hAnsi="Times New Roman"/>
          <w:sz w:val="24"/>
          <w:szCs w:val="24"/>
        </w:rPr>
        <w:t>на очередной финансовый год и плановый период проведён анализ показателей Прогноза социально-экономического развития.</w:t>
      </w:r>
    </w:p>
    <w:p w14:paraId="4A2BE0EE">
      <w:pPr>
        <w:spacing w:line="276" w:lineRule="auto"/>
        <w:jc w:val="both"/>
        <w:rPr>
          <w:sz w:val="24"/>
          <w:highlight w:val="yellow"/>
        </w:rPr>
      </w:pPr>
      <w:r>
        <w:rPr>
          <w:sz w:val="24"/>
        </w:rPr>
        <w:t>При формировании проекта бюджета края на 2026 год учтены следующие значения исходных макроэкономических показателей на среднесрочный период:</w:t>
      </w:r>
    </w:p>
    <w:p w14:paraId="1060DA7D">
      <w:pPr>
        <w:spacing w:line="276" w:lineRule="auto"/>
        <w:ind w:firstLine="708"/>
        <w:jc w:val="both"/>
        <w:rPr>
          <w:i/>
          <w:sz w:val="22"/>
        </w:rPr>
      </w:pPr>
      <w:r>
        <w:rPr>
          <w:i/>
          <w:sz w:val="22"/>
        </w:rPr>
        <w:t>Таблица 2.1.</w:t>
      </w:r>
    </w:p>
    <w:p w14:paraId="6EAAA095">
      <w:pPr>
        <w:spacing w:line="276" w:lineRule="auto"/>
        <w:ind w:firstLine="708"/>
        <w:jc w:val="both"/>
        <w:rPr>
          <w:i/>
        </w:rPr>
      </w:pPr>
      <w:r>
        <w:rPr>
          <w:i/>
        </w:rPr>
        <w:t>( в % к соответствующему периоду предыдущего года)</w:t>
      </w:r>
    </w:p>
    <w:tbl>
      <w:tblPr>
        <w:tblStyle w:val="3"/>
        <w:tblW w:w="9881" w:type="dxa"/>
        <w:jc w:val="center"/>
        <w:tblLayout w:type="autofit"/>
        <w:tblCellMar>
          <w:top w:w="0" w:type="dxa"/>
          <w:left w:w="108" w:type="dxa"/>
          <w:bottom w:w="0" w:type="dxa"/>
          <w:right w:w="108" w:type="dxa"/>
        </w:tblCellMar>
      </w:tblPr>
      <w:tblGrid>
        <w:gridCol w:w="4778"/>
        <w:gridCol w:w="1134"/>
        <w:gridCol w:w="992"/>
        <w:gridCol w:w="992"/>
        <w:gridCol w:w="992"/>
        <w:gridCol w:w="993"/>
      </w:tblGrid>
      <w:tr w14:paraId="01C8EFC2">
        <w:tblPrEx>
          <w:tblCellMar>
            <w:top w:w="0" w:type="dxa"/>
            <w:left w:w="108" w:type="dxa"/>
            <w:bottom w:w="0" w:type="dxa"/>
            <w:right w:w="108" w:type="dxa"/>
          </w:tblCellMar>
        </w:tblPrEx>
        <w:trPr>
          <w:cantSplit/>
          <w:trHeight w:val="390" w:hRule="atLeast"/>
          <w:jc w:val="center"/>
        </w:trPr>
        <w:tc>
          <w:tcPr>
            <w:tcW w:w="4778" w:type="dxa"/>
            <w:vMerge w:val="restart"/>
            <w:tcBorders>
              <w:top w:val="single" w:color="auto" w:sz="4" w:space="0"/>
              <w:left w:val="single" w:color="auto" w:sz="4" w:space="0"/>
              <w:bottom w:val="single" w:color="auto" w:sz="4" w:space="0"/>
              <w:right w:val="single" w:color="auto" w:sz="4" w:space="0"/>
            </w:tcBorders>
            <w:shd w:val="clear" w:color="000000" w:fill="FFFFCC"/>
            <w:noWrap/>
            <w:vAlign w:val="center"/>
          </w:tcPr>
          <w:p w14:paraId="22DF76A8">
            <w:pPr>
              <w:widowControl/>
              <w:autoSpaceDE/>
              <w:autoSpaceDN/>
              <w:adjustRightInd/>
              <w:jc w:val="center"/>
              <w:rPr>
                <w:color w:val="000000"/>
              </w:rPr>
            </w:pPr>
            <w:r>
              <w:rPr>
                <w:color w:val="000000"/>
              </w:rPr>
              <w:t>Показатели</w:t>
            </w:r>
          </w:p>
        </w:tc>
        <w:tc>
          <w:tcPr>
            <w:tcW w:w="1134" w:type="dxa"/>
            <w:tcBorders>
              <w:top w:val="single" w:color="auto" w:sz="4" w:space="0"/>
              <w:left w:val="nil"/>
              <w:bottom w:val="single" w:color="auto" w:sz="4" w:space="0"/>
              <w:right w:val="single" w:color="auto" w:sz="4" w:space="0"/>
            </w:tcBorders>
            <w:shd w:val="clear" w:color="000000" w:fill="FFFFCC"/>
            <w:noWrap/>
            <w:vAlign w:val="center"/>
          </w:tcPr>
          <w:p w14:paraId="71D7CEB0">
            <w:pPr>
              <w:widowControl/>
              <w:autoSpaceDE/>
              <w:autoSpaceDN/>
              <w:adjustRightInd/>
              <w:jc w:val="center"/>
              <w:rPr>
                <w:color w:val="000000"/>
              </w:rPr>
            </w:pPr>
            <w:r>
              <w:rPr>
                <w:color w:val="000000"/>
              </w:rPr>
              <w:t>2024 год</w:t>
            </w:r>
          </w:p>
        </w:tc>
        <w:tc>
          <w:tcPr>
            <w:tcW w:w="992" w:type="dxa"/>
            <w:tcBorders>
              <w:top w:val="single" w:color="auto" w:sz="4" w:space="0"/>
              <w:left w:val="nil"/>
              <w:bottom w:val="single" w:color="auto" w:sz="4" w:space="0"/>
              <w:right w:val="single" w:color="auto" w:sz="4" w:space="0"/>
            </w:tcBorders>
            <w:shd w:val="clear" w:color="000000" w:fill="FFFFCC"/>
            <w:noWrap/>
            <w:vAlign w:val="center"/>
          </w:tcPr>
          <w:p w14:paraId="7F2136F6">
            <w:pPr>
              <w:widowControl/>
              <w:autoSpaceDE/>
              <w:autoSpaceDN/>
              <w:adjustRightInd/>
              <w:jc w:val="center"/>
              <w:rPr>
                <w:color w:val="000000"/>
              </w:rPr>
            </w:pPr>
            <w:r>
              <w:rPr>
                <w:color w:val="000000"/>
              </w:rPr>
              <w:t>20</w:t>
            </w:r>
            <w:r>
              <w:rPr>
                <w:color w:val="000000"/>
                <w:lang w:val="en-US"/>
              </w:rPr>
              <w:t>2</w:t>
            </w:r>
            <w:r>
              <w:rPr>
                <w:color w:val="000000"/>
              </w:rPr>
              <w:t>5год</w:t>
            </w:r>
          </w:p>
        </w:tc>
        <w:tc>
          <w:tcPr>
            <w:tcW w:w="2977" w:type="dxa"/>
            <w:gridSpan w:val="3"/>
            <w:tcBorders>
              <w:top w:val="single" w:color="auto" w:sz="4" w:space="0"/>
              <w:left w:val="nil"/>
              <w:bottom w:val="single" w:color="auto" w:sz="4" w:space="0"/>
              <w:right w:val="single" w:color="auto" w:sz="4" w:space="0"/>
            </w:tcBorders>
            <w:shd w:val="clear" w:color="000000" w:fill="FFFFCC"/>
            <w:noWrap/>
            <w:vAlign w:val="center"/>
          </w:tcPr>
          <w:p w14:paraId="3846737A">
            <w:pPr>
              <w:widowControl/>
              <w:autoSpaceDE/>
              <w:autoSpaceDN/>
              <w:adjustRightInd/>
              <w:jc w:val="center"/>
              <w:rPr>
                <w:color w:val="000000"/>
              </w:rPr>
            </w:pPr>
            <w:r>
              <w:rPr>
                <w:color w:val="000000"/>
              </w:rPr>
              <w:t>Прогноз (базовый вариант)</w:t>
            </w:r>
          </w:p>
        </w:tc>
      </w:tr>
      <w:tr w14:paraId="6524AC48">
        <w:tblPrEx>
          <w:tblCellMar>
            <w:top w:w="0" w:type="dxa"/>
            <w:left w:w="108" w:type="dxa"/>
            <w:bottom w:w="0" w:type="dxa"/>
            <w:right w:w="108" w:type="dxa"/>
          </w:tblCellMar>
        </w:tblPrEx>
        <w:trPr>
          <w:trHeight w:val="390" w:hRule="atLeast"/>
          <w:jc w:val="center"/>
        </w:trPr>
        <w:tc>
          <w:tcPr>
            <w:tcW w:w="477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4A29030">
            <w:pPr>
              <w:widowControl/>
              <w:autoSpaceDE/>
              <w:autoSpaceDN/>
              <w:adjustRightInd/>
              <w:rPr>
                <w:color w:val="000000"/>
              </w:rPr>
            </w:pPr>
          </w:p>
        </w:tc>
        <w:tc>
          <w:tcPr>
            <w:tcW w:w="1134" w:type="dxa"/>
            <w:tcBorders>
              <w:top w:val="nil"/>
              <w:left w:val="nil"/>
              <w:bottom w:val="single" w:color="auto" w:sz="4" w:space="0"/>
              <w:right w:val="single" w:color="auto" w:sz="4" w:space="0"/>
            </w:tcBorders>
            <w:shd w:val="clear" w:color="000000" w:fill="FFFFCC"/>
            <w:noWrap/>
            <w:vAlign w:val="center"/>
          </w:tcPr>
          <w:p w14:paraId="3B824972">
            <w:pPr>
              <w:widowControl/>
              <w:autoSpaceDE/>
              <w:autoSpaceDN/>
              <w:adjustRightInd/>
              <w:jc w:val="center"/>
              <w:rPr>
                <w:color w:val="000000"/>
              </w:rPr>
            </w:pPr>
            <w:r>
              <w:rPr>
                <w:color w:val="000000"/>
              </w:rPr>
              <w:t>отчет</w:t>
            </w:r>
          </w:p>
        </w:tc>
        <w:tc>
          <w:tcPr>
            <w:tcW w:w="992" w:type="dxa"/>
            <w:tcBorders>
              <w:top w:val="nil"/>
              <w:left w:val="nil"/>
              <w:bottom w:val="single" w:color="auto" w:sz="4" w:space="0"/>
              <w:right w:val="single" w:color="auto" w:sz="4" w:space="0"/>
            </w:tcBorders>
            <w:shd w:val="clear" w:color="000000" w:fill="FFFFCC"/>
            <w:noWrap/>
            <w:vAlign w:val="center"/>
          </w:tcPr>
          <w:p w14:paraId="10487A40">
            <w:pPr>
              <w:widowControl/>
              <w:autoSpaceDE/>
              <w:autoSpaceDN/>
              <w:adjustRightInd/>
              <w:jc w:val="center"/>
              <w:rPr>
                <w:color w:val="000000"/>
              </w:rPr>
            </w:pPr>
            <w:r>
              <w:rPr>
                <w:color w:val="000000"/>
              </w:rPr>
              <w:t>оценка</w:t>
            </w:r>
          </w:p>
        </w:tc>
        <w:tc>
          <w:tcPr>
            <w:tcW w:w="992" w:type="dxa"/>
            <w:tcBorders>
              <w:top w:val="nil"/>
              <w:left w:val="nil"/>
              <w:bottom w:val="single" w:color="auto" w:sz="4" w:space="0"/>
              <w:right w:val="single" w:color="auto" w:sz="4" w:space="0"/>
            </w:tcBorders>
            <w:shd w:val="clear" w:color="000000" w:fill="FFFFCC"/>
            <w:noWrap/>
            <w:vAlign w:val="center"/>
          </w:tcPr>
          <w:p w14:paraId="4786A8F0">
            <w:pPr>
              <w:widowControl/>
              <w:autoSpaceDE/>
              <w:autoSpaceDN/>
              <w:adjustRightInd/>
              <w:jc w:val="center"/>
              <w:rPr>
                <w:color w:val="000000"/>
              </w:rPr>
            </w:pPr>
            <w:r>
              <w:rPr>
                <w:color w:val="000000"/>
              </w:rPr>
              <w:t>2026год</w:t>
            </w:r>
          </w:p>
        </w:tc>
        <w:tc>
          <w:tcPr>
            <w:tcW w:w="992" w:type="dxa"/>
            <w:tcBorders>
              <w:top w:val="nil"/>
              <w:left w:val="nil"/>
              <w:bottom w:val="single" w:color="auto" w:sz="4" w:space="0"/>
              <w:right w:val="single" w:color="auto" w:sz="4" w:space="0"/>
            </w:tcBorders>
            <w:shd w:val="clear" w:color="000000" w:fill="FFFFCC"/>
            <w:noWrap/>
            <w:vAlign w:val="center"/>
          </w:tcPr>
          <w:p w14:paraId="140BE82A">
            <w:pPr>
              <w:widowControl/>
              <w:autoSpaceDE/>
              <w:autoSpaceDN/>
              <w:adjustRightInd/>
              <w:jc w:val="center"/>
              <w:rPr>
                <w:color w:val="000000"/>
              </w:rPr>
            </w:pPr>
            <w:r>
              <w:rPr>
                <w:color w:val="000000"/>
              </w:rPr>
              <w:t>2027год</w:t>
            </w:r>
          </w:p>
        </w:tc>
        <w:tc>
          <w:tcPr>
            <w:tcW w:w="993" w:type="dxa"/>
            <w:tcBorders>
              <w:top w:val="nil"/>
              <w:left w:val="nil"/>
              <w:bottom w:val="single" w:color="auto" w:sz="4" w:space="0"/>
              <w:right w:val="single" w:color="auto" w:sz="4" w:space="0"/>
            </w:tcBorders>
            <w:shd w:val="clear" w:color="000000" w:fill="FFFFCC"/>
            <w:noWrap/>
            <w:vAlign w:val="center"/>
          </w:tcPr>
          <w:p w14:paraId="27D65918">
            <w:pPr>
              <w:widowControl/>
              <w:autoSpaceDE/>
              <w:autoSpaceDN/>
              <w:adjustRightInd/>
              <w:jc w:val="center"/>
              <w:rPr>
                <w:color w:val="000000"/>
              </w:rPr>
            </w:pPr>
            <w:r>
              <w:rPr>
                <w:color w:val="000000"/>
              </w:rPr>
              <w:t>2028 год</w:t>
            </w:r>
          </w:p>
        </w:tc>
      </w:tr>
      <w:tr w14:paraId="006EF088">
        <w:tblPrEx>
          <w:tblCellMar>
            <w:top w:w="0" w:type="dxa"/>
            <w:left w:w="108" w:type="dxa"/>
            <w:bottom w:w="0" w:type="dxa"/>
            <w:right w:w="108" w:type="dxa"/>
          </w:tblCellMar>
        </w:tblPrEx>
        <w:trPr>
          <w:cantSplit/>
          <w:trHeight w:val="297" w:hRule="atLeast"/>
          <w:jc w:val="center"/>
        </w:trPr>
        <w:tc>
          <w:tcPr>
            <w:tcW w:w="4778" w:type="dxa"/>
            <w:tcBorders>
              <w:top w:val="nil"/>
              <w:left w:val="single" w:color="auto" w:sz="4" w:space="0"/>
              <w:bottom w:val="single" w:color="auto" w:sz="4" w:space="0"/>
              <w:right w:val="single" w:color="auto" w:sz="4" w:space="0"/>
            </w:tcBorders>
            <w:shd w:val="clear" w:color="000000" w:fill="DDD9C3"/>
            <w:noWrap/>
            <w:vAlign w:val="center"/>
          </w:tcPr>
          <w:p w14:paraId="4AF239B2">
            <w:pPr>
              <w:widowControl/>
              <w:autoSpaceDE/>
              <w:autoSpaceDN/>
              <w:adjustRightInd/>
              <w:jc w:val="both"/>
              <w:rPr>
                <w:color w:val="000000"/>
              </w:rPr>
            </w:pPr>
            <w:r>
              <w:rPr>
                <w:color w:val="000000"/>
              </w:rPr>
              <w:t>Промышленное производство</w:t>
            </w:r>
          </w:p>
        </w:tc>
        <w:tc>
          <w:tcPr>
            <w:tcW w:w="1134" w:type="dxa"/>
            <w:tcBorders>
              <w:top w:val="nil"/>
              <w:left w:val="nil"/>
              <w:bottom w:val="single" w:color="auto" w:sz="4" w:space="0"/>
              <w:right w:val="single" w:color="auto" w:sz="4" w:space="0"/>
            </w:tcBorders>
            <w:shd w:val="clear" w:color="auto" w:fill="auto"/>
            <w:noWrap/>
            <w:vAlign w:val="center"/>
          </w:tcPr>
          <w:p w14:paraId="499C3EF3">
            <w:pPr>
              <w:jc w:val="center"/>
              <w:rPr>
                <w:szCs w:val="24"/>
              </w:rPr>
            </w:pPr>
          </w:p>
          <w:p w14:paraId="0A27CF97">
            <w:pPr>
              <w:jc w:val="center"/>
              <w:rPr>
                <w:szCs w:val="24"/>
              </w:rPr>
            </w:pPr>
            <w:r>
              <w:rPr>
                <w:szCs w:val="24"/>
              </w:rPr>
              <w:t>83,9</w:t>
            </w:r>
          </w:p>
          <w:p w14:paraId="34538921">
            <w:pPr>
              <w:jc w:val="center"/>
              <w:rPr>
                <w:szCs w:val="24"/>
              </w:rPr>
            </w:pPr>
          </w:p>
        </w:tc>
        <w:tc>
          <w:tcPr>
            <w:tcW w:w="992" w:type="dxa"/>
            <w:tcBorders>
              <w:top w:val="nil"/>
              <w:left w:val="nil"/>
              <w:bottom w:val="single" w:color="auto" w:sz="4" w:space="0"/>
              <w:right w:val="single" w:color="auto" w:sz="4" w:space="0"/>
            </w:tcBorders>
            <w:shd w:val="clear" w:color="auto" w:fill="auto"/>
            <w:noWrap/>
            <w:vAlign w:val="center"/>
          </w:tcPr>
          <w:p w14:paraId="03C09673">
            <w:pPr>
              <w:jc w:val="center"/>
              <w:rPr>
                <w:szCs w:val="24"/>
              </w:rPr>
            </w:pPr>
            <w:r>
              <w:rPr>
                <w:szCs w:val="24"/>
              </w:rPr>
              <w:t>106,7</w:t>
            </w:r>
          </w:p>
        </w:tc>
        <w:tc>
          <w:tcPr>
            <w:tcW w:w="992" w:type="dxa"/>
            <w:tcBorders>
              <w:top w:val="nil"/>
              <w:left w:val="nil"/>
              <w:bottom w:val="single" w:color="auto" w:sz="4" w:space="0"/>
              <w:right w:val="single" w:color="auto" w:sz="4" w:space="0"/>
            </w:tcBorders>
            <w:shd w:val="clear" w:color="auto" w:fill="auto"/>
            <w:noWrap/>
            <w:vAlign w:val="center"/>
          </w:tcPr>
          <w:p w14:paraId="0E587CFE">
            <w:pPr>
              <w:jc w:val="center"/>
              <w:rPr>
                <w:szCs w:val="24"/>
              </w:rPr>
            </w:pPr>
            <w:r>
              <w:rPr>
                <w:szCs w:val="24"/>
              </w:rPr>
              <w:t>103,6</w:t>
            </w:r>
          </w:p>
        </w:tc>
        <w:tc>
          <w:tcPr>
            <w:tcW w:w="992" w:type="dxa"/>
            <w:tcBorders>
              <w:top w:val="nil"/>
              <w:left w:val="nil"/>
              <w:bottom w:val="single" w:color="auto" w:sz="4" w:space="0"/>
              <w:right w:val="single" w:color="auto" w:sz="4" w:space="0"/>
            </w:tcBorders>
            <w:shd w:val="clear" w:color="auto" w:fill="auto"/>
            <w:noWrap/>
            <w:vAlign w:val="center"/>
          </w:tcPr>
          <w:p w14:paraId="73BFCD20">
            <w:pPr>
              <w:jc w:val="center"/>
              <w:rPr>
                <w:szCs w:val="24"/>
              </w:rPr>
            </w:pPr>
            <w:r>
              <w:rPr>
                <w:szCs w:val="24"/>
              </w:rPr>
              <w:t>104,4</w:t>
            </w:r>
          </w:p>
        </w:tc>
        <w:tc>
          <w:tcPr>
            <w:tcW w:w="993" w:type="dxa"/>
            <w:tcBorders>
              <w:top w:val="nil"/>
              <w:left w:val="nil"/>
              <w:bottom w:val="single" w:color="auto" w:sz="4" w:space="0"/>
              <w:right w:val="single" w:color="auto" w:sz="4" w:space="0"/>
            </w:tcBorders>
            <w:shd w:val="clear" w:color="auto" w:fill="auto"/>
            <w:noWrap/>
            <w:vAlign w:val="center"/>
          </w:tcPr>
          <w:p w14:paraId="202D2EF3">
            <w:pPr>
              <w:jc w:val="center"/>
              <w:rPr>
                <w:szCs w:val="24"/>
              </w:rPr>
            </w:pPr>
            <w:r>
              <w:rPr>
                <w:szCs w:val="24"/>
              </w:rPr>
              <w:t>105,5</w:t>
            </w:r>
          </w:p>
        </w:tc>
      </w:tr>
      <w:tr w14:paraId="6D871509">
        <w:tblPrEx>
          <w:tblCellMar>
            <w:top w:w="0" w:type="dxa"/>
            <w:left w:w="108" w:type="dxa"/>
            <w:bottom w:w="0" w:type="dxa"/>
            <w:right w:w="108" w:type="dxa"/>
          </w:tblCellMar>
        </w:tblPrEx>
        <w:trPr>
          <w:cantSplit/>
          <w:trHeight w:val="399" w:hRule="atLeast"/>
          <w:jc w:val="center"/>
        </w:trPr>
        <w:tc>
          <w:tcPr>
            <w:tcW w:w="4778" w:type="dxa"/>
            <w:tcBorders>
              <w:top w:val="nil"/>
              <w:left w:val="single" w:color="auto" w:sz="4" w:space="0"/>
              <w:bottom w:val="single" w:color="auto" w:sz="4" w:space="0"/>
              <w:right w:val="single" w:color="auto" w:sz="4" w:space="0"/>
            </w:tcBorders>
            <w:shd w:val="clear" w:color="000000" w:fill="DDD9C3"/>
            <w:noWrap/>
            <w:vAlign w:val="center"/>
          </w:tcPr>
          <w:p w14:paraId="3B0E3320">
            <w:pPr>
              <w:widowControl/>
              <w:autoSpaceDE/>
              <w:autoSpaceDN/>
              <w:adjustRightInd/>
              <w:jc w:val="both"/>
              <w:rPr>
                <w:color w:val="000000"/>
                <w:highlight w:val="yellow"/>
              </w:rPr>
            </w:pPr>
            <w:r>
              <w:rPr>
                <w:color w:val="000000"/>
              </w:rPr>
              <w:t xml:space="preserve">Продукция сельского хозяйства </w:t>
            </w:r>
          </w:p>
        </w:tc>
        <w:tc>
          <w:tcPr>
            <w:tcW w:w="1134" w:type="dxa"/>
            <w:tcBorders>
              <w:top w:val="nil"/>
              <w:left w:val="nil"/>
              <w:bottom w:val="single" w:color="auto" w:sz="4" w:space="0"/>
              <w:right w:val="single" w:color="auto" w:sz="4" w:space="0"/>
            </w:tcBorders>
            <w:shd w:val="clear" w:color="auto" w:fill="auto"/>
            <w:noWrap/>
            <w:vAlign w:val="center"/>
          </w:tcPr>
          <w:p w14:paraId="2ACC226D">
            <w:pPr>
              <w:jc w:val="center"/>
              <w:rPr>
                <w:szCs w:val="24"/>
              </w:rPr>
            </w:pPr>
            <w:r>
              <w:rPr>
                <w:szCs w:val="24"/>
              </w:rPr>
              <w:t>78,4</w:t>
            </w:r>
          </w:p>
        </w:tc>
        <w:tc>
          <w:tcPr>
            <w:tcW w:w="992" w:type="dxa"/>
            <w:tcBorders>
              <w:top w:val="nil"/>
              <w:left w:val="nil"/>
              <w:bottom w:val="single" w:color="auto" w:sz="4" w:space="0"/>
              <w:right w:val="single" w:color="auto" w:sz="4" w:space="0"/>
            </w:tcBorders>
            <w:shd w:val="clear" w:color="auto" w:fill="auto"/>
            <w:noWrap/>
            <w:vAlign w:val="center"/>
          </w:tcPr>
          <w:p w14:paraId="74517FB1">
            <w:pPr>
              <w:jc w:val="center"/>
              <w:rPr>
                <w:szCs w:val="24"/>
              </w:rPr>
            </w:pPr>
            <w:r>
              <w:rPr>
                <w:szCs w:val="24"/>
              </w:rPr>
              <w:t>100,5</w:t>
            </w:r>
          </w:p>
        </w:tc>
        <w:tc>
          <w:tcPr>
            <w:tcW w:w="992" w:type="dxa"/>
            <w:tcBorders>
              <w:top w:val="nil"/>
              <w:left w:val="nil"/>
              <w:bottom w:val="single" w:color="auto" w:sz="4" w:space="0"/>
              <w:right w:val="single" w:color="auto" w:sz="4" w:space="0"/>
            </w:tcBorders>
            <w:shd w:val="clear" w:color="auto" w:fill="auto"/>
            <w:noWrap/>
            <w:vAlign w:val="center"/>
          </w:tcPr>
          <w:p w14:paraId="759CB02B">
            <w:pPr>
              <w:jc w:val="center"/>
              <w:rPr>
                <w:szCs w:val="24"/>
              </w:rPr>
            </w:pPr>
            <w:r>
              <w:rPr>
                <w:szCs w:val="24"/>
              </w:rPr>
              <w:t>92,3</w:t>
            </w:r>
          </w:p>
        </w:tc>
        <w:tc>
          <w:tcPr>
            <w:tcW w:w="992" w:type="dxa"/>
            <w:tcBorders>
              <w:top w:val="nil"/>
              <w:left w:val="nil"/>
              <w:bottom w:val="single" w:color="auto" w:sz="4" w:space="0"/>
              <w:right w:val="single" w:color="auto" w:sz="4" w:space="0"/>
            </w:tcBorders>
            <w:shd w:val="clear" w:color="auto" w:fill="auto"/>
            <w:noWrap/>
            <w:vAlign w:val="center"/>
          </w:tcPr>
          <w:p w14:paraId="171F6007">
            <w:pPr>
              <w:jc w:val="center"/>
              <w:rPr>
                <w:szCs w:val="24"/>
              </w:rPr>
            </w:pPr>
            <w:r>
              <w:rPr>
                <w:szCs w:val="24"/>
              </w:rPr>
              <w:t>93.3</w:t>
            </w:r>
          </w:p>
        </w:tc>
        <w:tc>
          <w:tcPr>
            <w:tcW w:w="993" w:type="dxa"/>
            <w:tcBorders>
              <w:top w:val="nil"/>
              <w:left w:val="nil"/>
              <w:bottom w:val="single" w:color="auto" w:sz="4" w:space="0"/>
              <w:right w:val="single" w:color="auto" w:sz="4" w:space="0"/>
            </w:tcBorders>
            <w:shd w:val="clear" w:color="auto" w:fill="auto"/>
            <w:noWrap/>
            <w:vAlign w:val="center"/>
          </w:tcPr>
          <w:p w14:paraId="29B3B081">
            <w:pPr>
              <w:jc w:val="center"/>
              <w:rPr>
                <w:szCs w:val="24"/>
              </w:rPr>
            </w:pPr>
            <w:r>
              <w:rPr>
                <w:szCs w:val="24"/>
              </w:rPr>
              <w:t>100,6</w:t>
            </w:r>
          </w:p>
        </w:tc>
      </w:tr>
      <w:tr w14:paraId="35EC8592">
        <w:tblPrEx>
          <w:tblCellMar>
            <w:top w:w="0" w:type="dxa"/>
            <w:left w:w="108" w:type="dxa"/>
            <w:bottom w:w="0" w:type="dxa"/>
            <w:right w:w="108" w:type="dxa"/>
          </w:tblCellMar>
        </w:tblPrEx>
        <w:trPr>
          <w:cantSplit/>
          <w:trHeight w:val="323" w:hRule="atLeast"/>
          <w:jc w:val="center"/>
        </w:trPr>
        <w:tc>
          <w:tcPr>
            <w:tcW w:w="4778" w:type="dxa"/>
            <w:tcBorders>
              <w:top w:val="nil"/>
              <w:left w:val="single" w:color="auto" w:sz="4" w:space="0"/>
              <w:bottom w:val="single" w:color="auto" w:sz="4" w:space="0"/>
              <w:right w:val="single" w:color="auto" w:sz="4" w:space="0"/>
            </w:tcBorders>
            <w:shd w:val="clear" w:color="000000" w:fill="DDD9C3"/>
            <w:noWrap/>
            <w:vAlign w:val="center"/>
          </w:tcPr>
          <w:p w14:paraId="723EE1BE">
            <w:pPr>
              <w:widowControl/>
              <w:autoSpaceDE/>
              <w:autoSpaceDN/>
              <w:adjustRightInd/>
              <w:jc w:val="both"/>
              <w:rPr>
                <w:color w:val="000000"/>
                <w:highlight w:val="yellow"/>
              </w:rPr>
            </w:pPr>
            <w:r>
              <w:rPr>
                <w:color w:val="000000"/>
              </w:rPr>
              <w:t>Инвестиции в основной                 капитал</w:t>
            </w:r>
          </w:p>
        </w:tc>
        <w:tc>
          <w:tcPr>
            <w:tcW w:w="1134" w:type="dxa"/>
            <w:tcBorders>
              <w:top w:val="nil"/>
              <w:left w:val="nil"/>
              <w:bottom w:val="single" w:color="auto" w:sz="4" w:space="0"/>
              <w:right w:val="single" w:color="auto" w:sz="4" w:space="0"/>
            </w:tcBorders>
            <w:shd w:val="clear" w:color="auto" w:fill="auto"/>
            <w:noWrap/>
            <w:vAlign w:val="center"/>
          </w:tcPr>
          <w:p w14:paraId="71673061">
            <w:pPr>
              <w:jc w:val="center"/>
              <w:rPr>
                <w:szCs w:val="24"/>
              </w:rPr>
            </w:pPr>
            <w:r>
              <w:rPr>
                <w:szCs w:val="24"/>
              </w:rPr>
              <w:t>56,4</w:t>
            </w:r>
          </w:p>
        </w:tc>
        <w:tc>
          <w:tcPr>
            <w:tcW w:w="992" w:type="dxa"/>
            <w:tcBorders>
              <w:top w:val="nil"/>
              <w:left w:val="nil"/>
              <w:bottom w:val="single" w:color="auto" w:sz="4" w:space="0"/>
              <w:right w:val="single" w:color="auto" w:sz="4" w:space="0"/>
            </w:tcBorders>
            <w:shd w:val="clear" w:color="auto" w:fill="auto"/>
            <w:noWrap/>
            <w:vAlign w:val="center"/>
          </w:tcPr>
          <w:p w14:paraId="1EB7EAE8">
            <w:pPr>
              <w:jc w:val="center"/>
              <w:rPr>
                <w:szCs w:val="24"/>
              </w:rPr>
            </w:pPr>
            <w:r>
              <w:rPr>
                <w:szCs w:val="24"/>
              </w:rPr>
              <w:t>96,0</w:t>
            </w:r>
          </w:p>
        </w:tc>
        <w:tc>
          <w:tcPr>
            <w:tcW w:w="992" w:type="dxa"/>
            <w:tcBorders>
              <w:top w:val="nil"/>
              <w:left w:val="nil"/>
              <w:bottom w:val="single" w:color="auto" w:sz="4" w:space="0"/>
              <w:right w:val="single" w:color="auto" w:sz="4" w:space="0"/>
            </w:tcBorders>
            <w:shd w:val="clear" w:color="auto" w:fill="auto"/>
            <w:noWrap/>
            <w:vAlign w:val="center"/>
          </w:tcPr>
          <w:p w14:paraId="10BB8EE4">
            <w:pPr>
              <w:jc w:val="center"/>
              <w:rPr>
                <w:szCs w:val="24"/>
              </w:rPr>
            </w:pPr>
            <w:r>
              <w:rPr>
                <w:szCs w:val="24"/>
              </w:rPr>
              <w:t>106,5</w:t>
            </w:r>
          </w:p>
        </w:tc>
        <w:tc>
          <w:tcPr>
            <w:tcW w:w="992" w:type="dxa"/>
            <w:tcBorders>
              <w:top w:val="nil"/>
              <w:left w:val="nil"/>
              <w:bottom w:val="single" w:color="auto" w:sz="4" w:space="0"/>
              <w:right w:val="single" w:color="auto" w:sz="4" w:space="0"/>
            </w:tcBorders>
            <w:shd w:val="clear" w:color="auto" w:fill="auto"/>
            <w:noWrap/>
            <w:vAlign w:val="center"/>
          </w:tcPr>
          <w:p w14:paraId="066574AF">
            <w:pPr>
              <w:jc w:val="center"/>
              <w:rPr>
                <w:szCs w:val="24"/>
              </w:rPr>
            </w:pPr>
            <w:r>
              <w:rPr>
                <w:szCs w:val="24"/>
              </w:rPr>
              <w:t>98,7</w:t>
            </w:r>
          </w:p>
        </w:tc>
        <w:tc>
          <w:tcPr>
            <w:tcW w:w="993" w:type="dxa"/>
            <w:tcBorders>
              <w:top w:val="nil"/>
              <w:left w:val="nil"/>
              <w:bottom w:val="single" w:color="auto" w:sz="4" w:space="0"/>
              <w:right w:val="single" w:color="auto" w:sz="4" w:space="0"/>
            </w:tcBorders>
            <w:shd w:val="clear" w:color="auto" w:fill="auto"/>
            <w:noWrap/>
            <w:vAlign w:val="center"/>
          </w:tcPr>
          <w:p w14:paraId="7D3A055C">
            <w:pPr>
              <w:jc w:val="center"/>
              <w:rPr>
                <w:szCs w:val="24"/>
              </w:rPr>
            </w:pPr>
            <w:r>
              <w:rPr>
                <w:szCs w:val="24"/>
              </w:rPr>
              <w:t>97,8</w:t>
            </w:r>
          </w:p>
        </w:tc>
      </w:tr>
      <w:tr w14:paraId="4C04ED73">
        <w:tblPrEx>
          <w:tblCellMar>
            <w:top w:w="0" w:type="dxa"/>
            <w:left w:w="108" w:type="dxa"/>
            <w:bottom w:w="0" w:type="dxa"/>
            <w:right w:w="108" w:type="dxa"/>
          </w:tblCellMar>
        </w:tblPrEx>
        <w:trPr>
          <w:cantSplit/>
          <w:trHeight w:val="259" w:hRule="atLeast"/>
          <w:jc w:val="center"/>
        </w:trPr>
        <w:tc>
          <w:tcPr>
            <w:tcW w:w="4778" w:type="dxa"/>
            <w:tcBorders>
              <w:top w:val="nil"/>
              <w:left w:val="single" w:color="auto" w:sz="4" w:space="0"/>
              <w:bottom w:val="single" w:color="auto" w:sz="4" w:space="0"/>
              <w:right w:val="single" w:color="auto" w:sz="4" w:space="0"/>
            </w:tcBorders>
            <w:shd w:val="clear" w:color="000000" w:fill="DDD9C3"/>
            <w:noWrap/>
            <w:vAlign w:val="center"/>
          </w:tcPr>
          <w:p w14:paraId="4DCD0249">
            <w:pPr>
              <w:widowControl/>
              <w:autoSpaceDE/>
              <w:autoSpaceDN/>
              <w:adjustRightInd/>
              <w:jc w:val="both"/>
              <w:rPr>
                <w:color w:val="000000"/>
              </w:rPr>
            </w:pPr>
            <w:r>
              <w:rPr>
                <w:color w:val="000000"/>
              </w:rPr>
              <w:t>Оборот розничной торговли</w:t>
            </w:r>
          </w:p>
        </w:tc>
        <w:tc>
          <w:tcPr>
            <w:tcW w:w="1134" w:type="dxa"/>
            <w:tcBorders>
              <w:top w:val="nil"/>
              <w:left w:val="nil"/>
              <w:bottom w:val="single" w:color="auto" w:sz="4" w:space="0"/>
              <w:right w:val="single" w:color="auto" w:sz="4" w:space="0"/>
            </w:tcBorders>
            <w:shd w:val="clear" w:color="auto" w:fill="auto"/>
            <w:noWrap/>
            <w:vAlign w:val="center"/>
          </w:tcPr>
          <w:p w14:paraId="4CDD98F7">
            <w:pPr>
              <w:jc w:val="center"/>
              <w:rPr>
                <w:szCs w:val="24"/>
              </w:rPr>
            </w:pPr>
            <w:r>
              <w:rPr>
                <w:szCs w:val="24"/>
              </w:rPr>
              <w:t>120,21</w:t>
            </w:r>
          </w:p>
        </w:tc>
        <w:tc>
          <w:tcPr>
            <w:tcW w:w="992" w:type="dxa"/>
            <w:tcBorders>
              <w:top w:val="nil"/>
              <w:left w:val="nil"/>
              <w:bottom w:val="single" w:color="auto" w:sz="4" w:space="0"/>
              <w:right w:val="single" w:color="auto" w:sz="4" w:space="0"/>
            </w:tcBorders>
            <w:shd w:val="clear" w:color="auto" w:fill="auto"/>
            <w:noWrap/>
            <w:vAlign w:val="center"/>
          </w:tcPr>
          <w:p w14:paraId="6C420B87">
            <w:pPr>
              <w:jc w:val="center"/>
              <w:rPr>
                <w:szCs w:val="24"/>
              </w:rPr>
            </w:pPr>
            <w:r>
              <w:rPr>
                <w:szCs w:val="24"/>
              </w:rPr>
              <w:t>99,52</w:t>
            </w:r>
          </w:p>
        </w:tc>
        <w:tc>
          <w:tcPr>
            <w:tcW w:w="992" w:type="dxa"/>
            <w:tcBorders>
              <w:top w:val="nil"/>
              <w:left w:val="nil"/>
              <w:bottom w:val="single" w:color="auto" w:sz="4" w:space="0"/>
              <w:right w:val="single" w:color="auto" w:sz="4" w:space="0"/>
            </w:tcBorders>
            <w:shd w:val="clear" w:color="auto" w:fill="auto"/>
            <w:noWrap/>
            <w:vAlign w:val="center"/>
          </w:tcPr>
          <w:p w14:paraId="3CC1250B">
            <w:pPr>
              <w:jc w:val="center"/>
              <w:rPr>
                <w:szCs w:val="24"/>
              </w:rPr>
            </w:pPr>
            <w:r>
              <w:rPr>
                <w:szCs w:val="24"/>
              </w:rPr>
              <w:t>94,95</w:t>
            </w:r>
          </w:p>
        </w:tc>
        <w:tc>
          <w:tcPr>
            <w:tcW w:w="992" w:type="dxa"/>
            <w:tcBorders>
              <w:top w:val="nil"/>
              <w:left w:val="nil"/>
              <w:bottom w:val="single" w:color="auto" w:sz="4" w:space="0"/>
              <w:right w:val="single" w:color="auto" w:sz="4" w:space="0"/>
            </w:tcBorders>
            <w:shd w:val="clear" w:color="auto" w:fill="auto"/>
            <w:noWrap/>
            <w:vAlign w:val="center"/>
          </w:tcPr>
          <w:p w14:paraId="58B6D928">
            <w:pPr>
              <w:jc w:val="center"/>
              <w:rPr>
                <w:szCs w:val="24"/>
              </w:rPr>
            </w:pPr>
            <w:r>
              <w:rPr>
                <w:szCs w:val="24"/>
              </w:rPr>
              <w:t>96,14</w:t>
            </w:r>
          </w:p>
        </w:tc>
        <w:tc>
          <w:tcPr>
            <w:tcW w:w="993" w:type="dxa"/>
            <w:tcBorders>
              <w:top w:val="nil"/>
              <w:left w:val="nil"/>
              <w:bottom w:val="single" w:color="auto" w:sz="4" w:space="0"/>
              <w:right w:val="single" w:color="auto" w:sz="4" w:space="0"/>
            </w:tcBorders>
            <w:shd w:val="clear" w:color="auto" w:fill="auto"/>
            <w:noWrap/>
            <w:vAlign w:val="center"/>
          </w:tcPr>
          <w:p w14:paraId="79B5BC47">
            <w:pPr>
              <w:jc w:val="center"/>
              <w:rPr>
                <w:szCs w:val="24"/>
              </w:rPr>
            </w:pPr>
            <w:r>
              <w:rPr>
                <w:szCs w:val="24"/>
              </w:rPr>
              <w:t>96,04</w:t>
            </w:r>
          </w:p>
        </w:tc>
      </w:tr>
    </w:tbl>
    <w:p w14:paraId="74161FC7">
      <w:pPr>
        <w:widowControl/>
        <w:autoSpaceDE/>
        <w:autoSpaceDN/>
        <w:adjustRightInd/>
        <w:spacing w:line="276" w:lineRule="auto"/>
        <w:ind w:left="20" w:right="20" w:firstLine="720"/>
        <w:jc w:val="both"/>
        <w:rPr>
          <w:rFonts w:eastAsia="Calibri" w:cs="Arial"/>
          <w:sz w:val="24"/>
          <w:szCs w:val="24"/>
          <w:highlight w:val="yellow"/>
        </w:rPr>
      </w:pPr>
    </w:p>
    <w:p w14:paraId="0FCE0EAE">
      <w:pPr>
        <w:widowControl/>
        <w:autoSpaceDE/>
        <w:autoSpaceDN/>
        <w:adjustRightInd/>
        <w:spacing w:line="276" w:lineRule="auto"/>
        <w:ind w:left="20" w:right="20" w:firstLine="720"/>
        <w:jc w:val="center"/>
        <w:rPr>
          <w:rFonts w:cs="Arial"/>
          <w:sz w:val="24"/>
          <w:szCs w:val="24"/>
        </w:rPr>
      </w:pPr>
      <w:r>
        <w:rPr>
          <w:rFonts w:cs="Arial"/>
          <w:b/>
          <w:sz w:val="24"/>
          <w:szCs w:val="24"/>
        </w:rPr>
        <w:t>Население</w:t>
      </w:r>
    </w:p>
    <w:p w14:paraId="6F15E693">
      <w:pPr>
        <w:widowControl/>
        <w:autoSpaceDE/>
        <w:autoSpaceDN/>
        <w:adjustRightInd/>
        <w:spacing w:line="276" w:lineRule="auto"/>
        <w:ind w:right="20" w:firstLine="283"/>
        <w:jc w:val="both"/>
        <w:rPr>
          <w:rFonts w:cs="Arial"/>
          <w:sz w:val="24"/>
          <w:szCs w:val="24"/>
        </w:rPr>
      </w:pPr>
    </w:p>
    <w:p w14:paraId="363B8C8A">
      <w:pPr>
        <w:widowControl/>
        <w:autoSpaceDE/>
        <w:autoSpaceDN/>
        <w:adjustRightInd/>
        <w:spacing w:line="276" w:lineRule="auto"/>
        <w:ind w:right="20" w:firstLine="283"/>
        <w:jc w:val="both"/>
        <w:rPr>
          <w:rFonts w:cs="Arial"/>
          <w:sz w:val="24"/>
          <w:szCs w:val="24"/>
        </w:rPr>
      </w:pPr>
      <w:r>
        <w:rPr>
          <w:rFonts w:cs="Arial"/>
          <w:sz w:val="24"/>
          <w:szCs w:val="24"/>
        </w:rPr>
        <w:t xml:space="preserve"> Указом Президента РФ от 07.05.2024 №309 «О национальных целях развития Российской Федерации на период до 2030 года и на перспективу до 2036 года» (далее – Указ Президента РФ №309) определены в целях, увеличения численности населения страны и повышения уровня жизни граждан, следующие национальные цели -</w:t>
      </w:r>
      <w:r>
        <w:rPr>
          <w:rFonts w:cs="Arial"/>
          <w:b/>
          <w:sz w:val="24"/>
          <w:szCs w:val="24"/>
        </w:rPr>
        <w:t>сохранение населения</w:t>
      </w:r>
      <w:r>
        <w:rPr>
          <w:rFonts w:cs="Arial"/>
          <w:sz w:val="24"/>
          <w:szCs w:val="24"/>
        </w:rPr>
        <w:t>, укрепление здоровья и повышение благополучия людей, поддержка семьи.</w:t>
      </w:r>
    </w:p>
    <w:p w14:paraId="258B5CC8">
      <w:pPr>
        <w:widowControl/>
        <w:tabs>
          <w:tab w:val="left" w:pos="426"/>
        </w:tabs>
        <w:autoSpaceDE/>
        <w:autoSpaceDN/>
        <w:adjustRightInd/>
        <w:spacing w:line="276" w:lineRule="auto"/>
        <w:ind w:right="20" w:firstLine="153"/>
        <w:jc w:val="both"/>
        <w:rPr>
          <w:rFonts w:cs="Arial"/>
          <w:sz w:val="24"/>
          <w:szCs w:val="24"/>
        </w:rPr>
      </w:pPr>
      <w:r>
        <w:rPr>
          <w:rFonts w:cs="Arial"/>
          <w:sz w:val="24"/>
          <w:szCs w:val="24"/>
        </w:rPr>
        <w:t xml:space="preserve">       Одним из ключевых целевых показателей, характеризующим достижение национальной цели к 2030 году и на перспективу до 2036 года в соответствии с Указом Президента РФ №309, является обеспечение устойчивого роста численности населения. </w:t>
      </w:r>
    </w:p>
    <w:p w14:paraId="6E73258B">
      <w:pPr>
        <w:widowControl/>
        <w:tabs>
          <w:tab w:val="left" w:pos="284"/>
          <w:tab w:val="left" w:pos="567"/>
        </w:tabs>
        <w:autoSpaceDE/>
        <w:autoSpaceDN/>
        <w:adjustRightInd/>
        <w:spacing w:line="276" w:lineRule="auto"/>
        <w:ind w:right="20" w:firstLine="153"/>
        <w:jc w:val="both"/>
        <w:rPr>
          <w:rFonts w:cs="Arial"/>
          <w:sz w:val="24"/>
          <w:szCs w:val="24"/>
        </w:rPr>
      </w:pPr>
      <w:r>
        <w:rPr>
          <w:rFonts w:cs="Arial"/>
          <w:sz w:val="24"/>
          <w:szCs w:val="24"/>
        </w:rPr>
        <w:t xml:space="preserve">   Негативная ситуация в районе по сокращению постоянной численности населения Дульдургинского района продолжает сохраняться. На период до 2028 года предполагается, по данным Прогноза социально-экономического развития, что тенденции к сокращению численности населения сохранятся. </w:t>
      </w:r>
    </w:p>
    <w:p w14:paraId="52742AE0">
      <w:pPr>
        <w:widowControl/>
        <w:tabs>
          <w:tab w:val="left" w:pos="284"/>
          <w:tab w:val="left" w:pos="567"/>
        </w:tabs>
        <w:autoSpaceDE/>
        <w:autoSpaceDN/>
        <w:adjustRightInd/>
        <w:spacing w:line="276" w:lineRule="auto"/>
        <w:ind w:right="20" w:firstLine="153"/>
        <w:jc w:val="both"/>
        <w:rPr>
          <w:rFonts w:cs="Arial"/>
          <w:sz w:val="24"/>
          <w:szCs w:val="24"/>
        </w:rPr>
      </w:pPr>
      <w:r>
        <w:rPr>
          <w:rFonts w:cs="Arial"/>
          <w:sz w:val="24"/>
          <w:szCs w:val="24"/>
        </w:rPr>
        <w:t xml:space="preserve">  Численность постоянного населения Дульдургинского района на 01 января 2024 года  по данным Забайкалкрайстата составляет 13 633 человека. В 2025 году среднегодовая численность постоянного населения муниципального района, по оценке, составит 13 566 человек и снизится по сравнению с уровнем предыдущего года на 67 человек (на 0,49 %). Общий коэффициент рождаемости, по оценке, составит 10,09 на 1000 человек населения и увеличится на 0,4 % к уровню предыдущего года, общий коэффициент смертности составит 11,94 на 1000 человек населения и снизится к уровню 2024 года на 1,2%, коэффициент естественной прироста населения, по оценке, составит минус 1,85 на 1000 человек населения и увеличится к уровню 2024 года на 2,7 %. Миграционная убыль населения, по оценке, составит минус 67 человек и уменьшится в абсолютном значении на 6 человек (на 9,8%).</w:t>
      </w:r>
    </w:p>
    <w:p w14:paraId="4D9DA413">
      <w:pPr>
        <w:widowControl/>
        <w:tabs>
          <w:tab w:val="left" w:pos="284"/>
          <w:tab w:val="left" w:pos="567"/>
        </w:tabs>
        <w:autoSpaceDE/>
        <w:autoSpaceDN/>
        <w:adjustRightInd/>
        <w:spacing w:line="276" w:lineRule="auto"/>
        <w:ind w:right="20" w:firstLine="153"/>
        <w:jc w:val="both"/>
        <w:rPr>
          <w:rFonts w:cs="Arial"/>
          <w:sz w:val="24"/>
          <w:szCs w:val="24"/>
        </w:rPr>
      </w:pPr>
      <w:r>
        <w:rPr>
          <w:rFonts w:cs="Arial"/>
          <w:sz w:val="24"/>
          <w:szCs w:val="24"/>
        </w:rPr>
        <w:t xml:space="preserve"> В период 2026-2028 годов среднегодовая численность постоянного населения района уменьшится на 1,0 % к уровню 2025 года и составит, по прогнозу, в 2026 году – </w:t>
      </w:r>
    </w:p>
    <w:p w14:paraId="33AC386E">
      <w:pPr>
        <w:widowControl/>
        <w:tabs>
          <w:tab w:val="left" w:pos="284"/>
          <w:tab w:val="left" w:pos="567"/>
        </w:tabs>
        <w:autoSpaceDE/>
        <w:autoSpaceDN/>
        <w:adjustRightInd/>
        <w:spacing w:line="276" w:lineRule="auto"/>
        <w:ind w:right="20"/>
        <w:jc w:val="both"/>
        <w:rPr>
          <w:rFonts w:cs="Arial"/>
          <w:sz w:val="24"/>
          <w:szCs w:val="24"/>
        </w:rPr>
      </w:pPr>
      <w:r>
        <w:rPr>
          <w:rFonts w:cs="Arial"/>
          <w:sz w:val="24"/>
          <w:szCs w:val="24"/>
        </w:rPr>
        <w:t>13 539 человек, в 2027году – 13 508 человек, в 2028 году – 13 478 человек.</w:t>
      </w:r>
    </w:p>
    <w:p w14:paraId="4F8B5CF0">
      <w:pPr>
        <w:widowControl/>
        <w:autoSpaceDE/>
        <w:autoSpaceDN/>
        <w:adjustRightInd/>
        <w:spacing w:line="276" w:lineRule="auto"/>
        <w:ind w:left="20" w:right="20" w:firstLine="720"/>
        <w:jc w:val="center"/>
        <w:rPr>
          <w:rFonts w:eastAsia="Calibri" w:cs="Arial"/>
          <w:sz w:val="24"/>
          <w:szCs w:val="24"/>
        </w:rPr>
      </w:pPr>
      <w:r>
        <w:rPr>
          <w:rFonts w:eastAsia="Calibri" w:cs="Arial"/>
          <w:b/>
          <w:sz w:val="24"/>
          <w:szCs w:val="24"/>
        </w:rPr>
        <w:t>Промышленное производство</w:t>
      </w:r>
    </w:p>
    <w:p w14:paraId="307936BC">
      <w:pPr>
        <w:widowControl/>
        <w:tabs>
          <w:tab w:val="decimal" w:pos="426"/>
        </w:tabs>
        <w:autoSpaceDE/>
        <w:autoSpaceDN/>
        <w:adjustRightInd/>
        <w:spacing w:line="276" w:lineRule="auto"/>
        <w:ind w:right="20"/>
        <w:jc w:val="both"/>
        <w:rPr>
          <w:rFonts w:eastAsia="Calibri" w:cs="Arial"/>
          <w:sz w:val="24"/>
          <w:szCs w:val="24"/>
          <w:highlight w:val="yellow"/>
        </w:rPr>
      </w:pPr>
      <w:r>
        <w:rPr>
          <w:sz w:val="24"/>
          <w:szCs w:val="24"/>
        </w:rPr>
        <w:t xml:space="preserve">    Наиболее динамичное развитие прогнозируется по видам экономической деятельности, базирующимся на существующих в районе сырьевых и природных ресурсах.</w:t>
      </w:r>
    </w:p>
    <w:p w14:paraId="35359214">
      <w:pPr>
        <w:widowControl/>
        <w:tabs>
          <w:tab w:val="decimal" w:pos="426"/>
        </w:tabs>
        <w:autoSpaceDE/>
        <w:autoSpaceDN/>
        <w:adjustRightInd/>
        <w:spacing w:line="276" w:lineRule="auto"/>
        <w:ind w:right="20"/>
        <w:jc w:val="both"/>
        <w:rPr>
          <w:sz w:val="24"/>
          <w:szCs w:val="24"/>
        </w:rPr>
      </w:pPr>
      <w:r>
        <w:rPr>
          <w:sz w:val="24"/>
          <w:szCs w:val="24"/>
        </w:rPr>
        <w:t xml:space="preserve">     В 2025 году индекс промышленного производства оценивается на уровне 106,7 %, объем отгруженной продукции – 1 829,0млн. рублей, в том числе: в добыче полезных ископаемых – 112,6% и 968,4 млн. рублей, в обрабатывающих производствах – 100,1 % и 87,9 млн. рублей, в обеспечении электрической энергией, газом и паром, кондиционировании воздуха – 100,3 % и 772,7 млн. рублей.</w:t>
      </w:r>
    </w:p>
    <w:p w14:paraId="6331E38D">
      <w:pPr>
        <w:widowControl/>
        <w:tabs>
          <w:tab w:val="decimal" w:pos="426"/>
        </w:tabs>
        <w:autoSpaceDE/>
        <w:autoSpaceDN/>
        <w:adjustRightInd/>
        <w:spacing w:line="276" w:lineRule="auto"/>
        <w:ind w:right="20"/>
        <w:jc w:val="center"/>
        <w:rPr>
          <w:rFonts w:eastAsia="Calibri" w:cs="Arial"/>
          <w:b/>
          <w:bCs/>
          <w:sz w:val="24"/>
          <w:szCs w:val="24"/>
          <w:highlight w:val="yellow"/>
        </w:rPr>
      </w:pPr>
      <w:r>
        <w:rPr>
          <w:b/>
          <w:bCs/>
          <w:sz w:val="24"/>
          <w:szCs w:val="24"/>
        </w:rPr>
        <w:t>Сельское хозяйство</w:t>
      </w:r>
    </w:p>
    <w:p w14:paraId="0BF393B5">
      <w:pPr>
        <w:widowControl/>
        <w:tabs>
          <w:tab w:val="left" w:pos="284"/>
          <w:tab w:val="decimal" w:pos="426"/>
        </w:tabs>
        <w:autoSpaceDE/>
        <w:autoSpaceDN/>
        <w:adjustRightInd/>
        <w:spacing w:line="276" w:lineRule="auto"/>
        <w:ind w:right="20" w:hanging="567"/>
        <w:jc w:val="both"/>
        <w:rPr>
          <w:rFonts w:ascii="Arial" w:hAnsi="Arial" w:eastAsia="Calibri" w:cs="Arial"/>
          <w:sz w:val="23"/>
          <w:szCs w:val="23"/>
          <w:highlight w:val="yellow"/>
        </w:rPr>
      </w:pPr>
      <w:r>
        <w:rPr>
          <w:sz w:val="24"/>
          <w:szCs w:val="24"/>
        </w:rPr>
        <w:t xml:space="preserve">               Агропромышленный комплекс и его базовая отрасль – сельское хозяйство являются системообразующими сферами экономики муниципального района. По данным Прогноза социально - экономического развития объем производства сельскохозяйственной продукции в 2025 году, по оценке, составит 739,5 млн. рублей, или 100,5 % к уровню 2024года. В 2026 году объем продукции сельского хозяйства оценочно составит 763,7 млн. рублей (192,3%), в2027году-765,8 млн. рублей (93,3%), в 2028 году -979,6 млн. рублей (100,6%). В целом за период 2026-2028 годов рост объемов сельскохозяйственного производства прогнозируется на уровне 95,4% к уровню 2025 года (среднегодовой темп роста 107,6%), в том числе: продукции растениеводства (99,0%), продукции животноводства 98,8%.</w:t>
      </w:r>
    </w:p>
    <w:p w14:paraId="1A76476B">
      <w:pPr>
        <w:widowControl/>
        <w:tabs>
          <w:tab w:val="left" w:pos="-284"/>
          <w:tab w:val="left" w:pos="284"/>
        </w:tabs>
        <w:autoSpaceDE/>
        <w:autoSpaceDN/>
        <w:adjustRightInd/>
        <w:spacing w:line="276" w:lineRule="auto"/>
        <w:ind w:right="20" w:hanging="1418"/>
        <w:jc w:val="both"/>
        <w:rPr>
          <w:rFonts w:eastAsia="Calibri" w:cs="Arial"/>
          <w:sz w:val="24"/>
          <w:szCs w:val="24"/>
        </w:rPr>
      </w:pPr>
      <w:r>
        <w:rPr>
          <w:rFonts w:eastAsia="Calibri" w:cs="Arial"/>
          <w:sz w:val="24"/>
          <w:szCs w:val="24"/>
        </w:rPr>
        <w:t xml:space="preserve">                           Сдерживающими факторами в агропромышленном производстве могут оказаться риски, связанные с низким уровнем </w:t>
      </w:r>
      <w:r>
        <w:rPr>
          <w:rFonts w:eastAsia="Calibri" w:cs="Arial"/>
          <w:sz w:val="24"/>
          <w:szCs w:val="24"/>
          <w:lang w:val="ru-RU"/>
        </w:rPr>
        <w:t>энерговооружённости</w:t>
      </w:r>
      <w:r>
        <w:rPr>
          <w:rFonts w:eastAsia="Calibri" w:cs="Arial"/>
          <w:sz w:val="24"/>
          <w:szCs w:val="24"/>
        </w:rPr>
        <w:t xml:space="preserve"> и химизации, ростом цен на материально-технические ресурсы, неразвитостью инфраструктуры рынка сельскохозяйственной продукции, дефицитом квалифицированных кадров, оттоком сельского населения. Одним из основных рисков для Забайкальского края является природно-климатический, обусловленный зависимостью отрасли от погодных условий.</w:t>
      </w:r>
    </w:p>
    <w:p w14:paraId="469EA458">
      <w:pPr>
        <w:widowControl/>
        <w:autoSpaceDE/>
        <w:autoSpaceDN/>
        <w:adjustRightInd/>
        <w:spacing w:line="276" w:lineRule="auto"/>
        <w:ind w:right="20" w:hanging="1154"/>
        <w:jc w:val="both"/>
        <w:rPr>
          <w:rFonts w:eastAsia="Calibri" w:cs="Arial"/>
          <w:sz w:val="24"/>
          <w:szCs w:val="24"/>
          <w:highlight w:val="yellow"/>
        </w:rPr>
      </w:pPr>
    </w:p>
    <w:p w14:paraId="4F13A0F4">
      <w:pPr>
        <w:widowControl/>
        <w:tabs>
          <w:tab w:val="decimal" w:pos="426"/>
        </w:tabs>
        <w:autoSpaceDE/>
        <w:autoSpaceDN/>
        <w:adjustRightInd/>
        <w:spacing w:line="276" w:lineRule="auto"/>
        <w:ind w:left="20" w:right="20" w:hanging="1154"/>
        <w:jc w:val="center"/>
        <w:rPr>
          <w:rFonts w:eastAsia="Calibri" w:cs="Arial"/>
          <w:b/>
          <w:sz w:val="24"/>
          <w:szCs w:val="24"/>
        </w:rPr>
      </w:pPr>
      <w:r>
        <w:rPr>
          <w:rFonts w:eastAsia="Calibri" w:cs="Arial"/>
          <w:b/>
          <w:sz w:val="24"/>
          <w:szCs w:val="24"/>
        </w:rPr>
        <w:t>Строительство</w:t>
      </w:r>
    </w:p>
    <w:p w14:paraId="3F129A71">
      <w:pPr>
        <w:widowControl/>
        <w:tabs>
          <w:tab w:val="left" w:pos="284"/>
          <w:tab w:val="left" w:pos="426"/>
        </w:tabs>
        <w:autoSpaceDE/>
        <w:autoSpaceDN/>
        <w:adjustRightInd/>
        <w:spacing w:line="276" w:lineRule="auto"/>
        <w:ind w:left="20" w:right="20" w:hanging="1721"/>
        <w:jc w:val="both"/>
        <w:rPr>
          <w:sz w:val="24"/>
          <w:szCs w:val="24"/>
        </w:rPr>
      </w:pPr>
      <w:r>
        <w:rPr>
          <w:sz w:val="24"/>
          <w:szCs w:val="24"/>
        </w:rPr>
        <w:t xml:space="preserve">                                Объем работ по виду деятельности «строительство» прогнозируется на уровне: в 2025году – 54,7 млн. рублей (96,3% к уровню предыдущего года), в 2026 году – 55,8 млн. рублей (102,0%), в 2027 году – 56,9 млн. рублей (101,9%), в 2028году -58,0 млн. рублей (101,9%). </w:t>
      </w:r>
    </w:p>
    <w:p w14:paraId="47BBA6CF">
      <w:pPr>
        <w:widowControl/>
        <w:tabs>
          <w:tab w:val="left" w:pos="284"/>
          <w:tab w:val="left" w:pos="426"/>
        </w:tabs>
        <w:autoSpaceDE/>
        <w:autoSpaceDN/>
        <w:adjustRightInd/>
        <w:spacing w:line="276" w:lineRule="auto"/>
        <w:ind w:left="20" w:right="20" w:hanging="1721"/>
        <w:jc w:val="both"/>
        <w:rPr>
          <w:b/>
          <w:sz w:val="24"/>
          <w:highlight w:val="yellow"/>
        </w:rPr>
      </w:pPr>
    </w:p>
    <w:p w14:paraId="04FB312A">
      <w:pPr>
        <w:spacing w:line="276" w:lineRule="auto"/>
        <w:ind w:left="-1134" w:firstLine="1154"/>
        <w:jc w:val="center"/>
        <w:rPr>
          <w:sz w:val="24"/>
        </w:rPr>
      </w:pPr>
      <w:r>
        <w:rPr>
          <w:b/>
          <w:sz w:val="24"/>
        </w:rPr>
        <w:t>Малое и среднее предпринимательство, включая микропредприятия</w:t>
      </w:r>
    </w:p>
    <w:p w14:paraId="2CE20BB7">
      <w:pPr>
        <w:tabs>
          <w:tab w:val="left" w:pos="284"/>
          <w:tab w:val="decimal" w:pos="426"/>
        </w:tabs>
        <w:spacing w:line="276" w:lineRule="auto"/>
        <w:ind w:left="20"/>
        <w:jc w:val="both"/>
        <w:rPr>
          <w:rFonts w:eastAsia="Calibri" w:cs="Arial"/>
          <w:b/>
          <w:sz w:val="24"/>
          <w:szCs w:val="24"/>
          <w:highlight w:val="yellow"/>
        </w:rPr>
      </w:pPr>
      <w:r>
        <w:rPr>
          <w:sz w:val="24"/>
          <w:szCs w:val="24"/>
        </w:rPr>
        <w:t>В 2025 году общее количество малых и средних предприятий, включая микропредприятия, составит 271 единиц, или 99,3%к уровню2024года. Среднесписочная численность работников малых и средних предприятий сохранится на прежнем уровне  и составит 311человек. Оборот малых и средних предприятий, включая микропредприятия, оценивается в объеме 251,8 млн. рублей.</w:t>
      </w:r>
    </w:p>
    <w:p w14:paraId="76E827F2">
      <w:pPr>
        <w:widowControl/>
        <w:autoSpaceDE/>
        <w:autoSpaceDN/>
        <w:adjustRightInd/>
        <w:spacing w:line="276" w:lineRule="auto"/>
        <w:ind w:left="-1134" w:right="20" w:firstLine="1154"/>
        <w:jc w:val="center"/>
        <w:rPr>
          <w:rFonts w:eastAsia="Calibri" w:cs="Arial"/>
          <w:b/>
          <w:sz w:val="24"/>
          <w:szCs w:val="24"/>
        </w:rPr>
      </w:pPr>
    </w:p>
    <w:p w14:paraId="43515F28">
      <w:pPr>
        <w:widowControl/>
        <w:autoSpaceDE/>
        <w:autoSpaceDN/>
        <w:adjustRightInd/>
        <w:spacing w:line="276" w:lineRule="auto"/>
        <w:ind w:left="-1134" w:right="20" w:firstLine="1154"/>
        <w:jc w:val="center"/>
        <w:rPr>
          <w:rFonts w:eastAsia="Calibri" w:cs="Arial"/>
          <w:b/>
          <w:sz w:val="24"/>
          <w:szCs w:val="24"/>
        </w:rPr>
      </w:pPr>
      <w:r>
        <w:rPr>
          <w:rFonts w:eastAsia="Calibri" w:cs="Arial"/>
          <w:b/>
          <w:sz w:val="24"/>
          <w:szCs w:val="24"/>
        </w:rPr>
        <w:t xml:space="preserve">Инвестиции </w:t>
      </w:r>
    </w:p>
    <w:p w14:paraId="23BC5F45">
      <w:pPr>
        <w:widowControl/>
        <w:autoSpaceDE/>
        <w:autoSpaceDN/>
        <w:adjustRightInd/>
        <w:spacing w:line="276" w:lineRule="auto"/>
        <w:ind w:right="20" w:firstLine="587"/>
        <w:jc w:val="both"/>
        <w:rPr>
          <w:rFonts w:hint="default" w:eastAsia="Calibri" w:cs="Arial"/>
          <w:sz w:val="24"/>
          <w:szCs w:val="24"/>
          <w:lang w:val="ru-RU"/>
        </w:rPr>
      </w:pPr>
      <w:r>
        <w:rPr>
          <w:rFonts w:eastAsia="Calibri" w:cs="Arial"/>
          <w:sz w:val="24"/>
          <w:szCs w:val="24"/>
        </w:rPr>
        <w:t>В среднесрочном периоде прогнозируется увеличение инвестиционной активности бизнеса, ориентированной на эпидемиологическую стабильность и меры государственной поддержки, положительная динамика темпов роста объемов капитальных вложений за счет реализации инвестиционных проектов, реализация мер поддержки в рамках ТОР «Забайкалье»</w:t>
      </w:r>
      <w:r>
        <w:rPr>
          <w:rFonts w:hint="default" w:eastAsia="Calibri" w:cs="Arial"/>
          <w:sz w:val="24"/>
          <w:szCs w:val="24"/>
          <w:lang w:val="ru-RU"/>
        </w:rPr>
        <w:t>.</w:t>
      </w:r>
    </w:p>
    <w:p w14:paraId="0C9F9676">
      <w:pPr>
        <w:widowControl/>
        <w:tabs>
          <w:tab w:val="left" w:pos="567"/>
        </w:tabs>
        <w:autoSpaceDE/>
        <w:autoSpaceDN/>
        <w:adjustRightInd/>
        <w:spacing w:line="276" w:lineRule="auto"/>
        <w:ind w:right="20" w:hanging="567"/>
        <w:jc w:val="both"/>
        <w:rPr>
          <w:rFonts w:eastAsia="Calibri" w:cs="Arial"/>
          <w:sz w:val="24"/>
          <w:szCs w:val="24"/>
        </w:rPr>
      </w:pPr>
      <w:r>
        <w:rPr>
          <w:sz w:val="24"/>
          <w:szCs w:val="24"/>
        </w:rPr>
        <w:t xml:space="preserve">                  В результате объем инвестиций в основной капитал прогнозируется в объеме: в 2026году – 12 5,9 млн. рублей (106,5 %к уровню предыдущего года), в 2027 году – 129,8 млн. рублей (98,7%), в 2028году–132,4млн. рублей (97,8%)</w:t>
      </w:r>
      <w:r>
        <w:t xml:space="preserve">. </w:t>
      </w:r>
    </w:p>
    <w:p w14:paraId="615BEFC7">
      <w:pPr>
        <w:widowControl/>
        <w:tabs>
          <w:tab w:val="decimal" w:pos="426"/>
        </w:tabs>
        <w:autoSpaceDE/>
        <w:autoSpaceDN/>
        <w:adjustRightInd/>
        <w:spacing w:line="276" w:lineRule="auto"/>
        <w:ind w:left="-1134" w:right="20" w:firstLine="1154"/>
        <w:jc w:val="both"/>
        <w:rPr>
          <w:rFonts w:eastAsia="Calibri" w:cs="Arial"/>
          <w:sz w:val="24"/>
          <w:szCs w:val="24"/>
          <w:highlight w:val="yellow"/>
        </w:rPr>
      </w:pPr>
    </w:p>
    <w:p w14:paraId="1F0A8700">
      <w:pPr>
        <w:widowControl/>
        <w:autoSpaceDE/>
        <w:autoSpaceDN/>
        <w:adjustRightInd/>
        <w:spacing w:line="276" w:lineRule="auto"/>
        <w:ind w:left="-1134" w:right="20" w:firstLine="1154"/>
        <w:jc w:val="center"/>
        <w:rPr>
          <w:rFonts w:eastAsia="Calibri" w:cs="Arial"/>
          <w:sz w:val="24"/>
          <w:szCs w:val="24"/>
        </w:rPr>
      </w:pPr>
      <w:r>
        <w:rPr>
          <w:rFonts w:eastAsia="Calibri" w:cs="Arial"/>
          <w:b/>
          <w:sz w:val="24"/>
          <w:szCs w:val="24"/>
        </w:rPr>
        <w:t>Труд и занятость</w:t>
      </w:r>
    </w:p>
    <w:p w14:paraId="71E9DF71">
      <w:pPr>
        <w:widowControl/>
        <w:tabs>
          <w:tab w:val="decimal" w:pos="142"/>
          <w:tab w:val="decimal" w:pos="426"/>
        </w:tabs>
        <w:autoSpaceDE/>
        <w:autoSpaceDN/>
        <w:adjustRightInd/>
        <w:spacing w:line="276" w:lineRule="auto"/>
        <w:ind w:right="20"/>
        <w:jc w:val="both"/>
        <w:rPr>
          <w:sz w:val="24"/>
          <w:szCs w:val="24"/>
        </w:rPr>
      </w:pPr>
      <w:r>
        <w:rPr>
          <w:sz w:val="24"/>
          <w:szCs w:val="24"/>
        </w:rPr>
        <w:t xml:space="preserve">       В прогнозный период 2026–2028 годов по базовому варианту уровень среднемесячной номинальной начисленной заработной платы составит: в 2026 году – </w:t>
      </w:r>
    </w:p>
    <w:p w14:paraId="342DE717">
      <w:pPr>
        <w:widowControl/>
        <w:tabs>
          <w:tab w:val="decimal" w:pos="142"/>
          <w:tab w:val="decimal" w:pos="426"/>
        </w:tabs>
        <w:autoSpaceDE/>
        <w:autoSpaceDN/>
        <w:adjustRightInd/>
        <w:spacing w:line="360" w:lineRule="auto"/>
        <w:ind w:right="20"/>
        <w:jc w:val="both"/>
        <w:rPr>
          <w:sz w:val="24"/>
          <w:szCs w:val="24"/>
        </w:rPr>
      </w:pPr>
      <w:r>
        <w:rPr>
          <w:sz w:val="24"/>
          <w:szCs w:val="24"/>
        </w:rPr>
        <w:t>81 128,5 рублей (110,3 % к уровню предыдущего года), в 2027году– 88 462,2 рублей    (109,1%),  в 2028 году – 96 387,6 рубль (109,0 %). Риски недостижения прогнозных показателей возможны в случае снижения доходности организаций во внебюджетной сфере, сокращения производственной деятельности предприятий, а также внешних и внутренних экономических условий в целом по Российской Федерации.</w:t>
      </w:r>
    </w:p>
    <w:p w14:paraId="275C1B8F">
      <w:pPr>
        <w:pStyle w:val="25"/>
        <w:keepNext/>
        <w:keepLines/>
        <w:shd w:val="clear" w:color="auto" w:fill="auto"/>
        <w:spacing w:before="0" w:after="100" w:afterAutospacing="1" w:line="240" w:lineRule="auto"/>
        <w:ind w:left="20" w:right="357" w:firstLine="0"/>
        <w:rPr>
          <w:rFonts w:ascii="Times New Roman" w:hAnsi="Times New Roman"/>
          <w:sz w:val="24"/>
          <w:szCs w:val="24"/>
        </w:rPr>
      </w:pPr>
      <w:r>
        <w:rPr>
          <w:rFonts w:ascii="Times New Roman" w:hAnsi="Times New Roman"/>
          <w:sz w:val="24"/>
          <w:szCs w:val="24"/>
        </w:rPr>
        <w:t xml:space="preserve">3.Общая характеристика Проекта бюджета на 2026год </w:t>
      </w:r>
      <w:r>
        <w:rPr>
          <w:rFonts w:ascii="Times New Roman" w:hAnsi="Times New Roman"/>
          <w:sz w:val="24"/>
          <w:szCs w:val="24"/>
        </w:rPr>
        <w:br w:type="textWrapping"/>
      </w:r>
      <w:r>
        <w:rPr>
          <w:rFonts w:ascii="Times New Roman" w:hAnsi="Times New Roman"/>
          <w:sz w:val="24"/>
          <w:szCs w:val="24"/>
        </w:rPr>
        <w:t>и плановый период 2027 и 2028 годов</w:t>
      </w:r>
    </w:p>
    <w:p w14:paraId="139A0076">
      <w:pPr>
        <w:pStyle w:val="8"/>
        <w:tabs>
          <w:tab w:val="left" w:pos="284"/>
        </w:tabs>
        <w:spacing w:before="120" w:after="120" w:line="276" w:lineRule="auto"/>
        <w:ind w:left="20" w:right="23" w:firstLine="284"/>
        <w:rPr>
          <w:rFonts w:ascii="Times New Roman" w:hAnsi="Times New Roman"/>
          <w:sz w:val="24"/>
          <w:szCs w:val="24"/>
        </w:rPr>
      </w:pPr>
      <w:r>
        <w:rPr>
          <w:rFonts w:ascii="Times New Roman" w:hAnsi="Times New Roman"/>
          <w:sz w:val="24"/>
          <w:szCs w:val="24"/>
        </w:rPr>
        <w:t>В  связи преобразованием всех поселений, входящих в состав муниципального района «Дульдургинский район», в Дульдургинский муниципальный округ представленный Проект бюджета составлен с учетом доходов и расходов всех поселений. Проект бюджета составлен сроком на три года (на очередной финансовый год и плановый период), что соответствует части 4 статьи 169 БК РФ  и пункту 3 статьи 15 Положения о бюджетном процессе в муниципальном районе «Дульдургинский район». Состав показателей, представляемых для утверждения в Проекте бюджета, соответствует требованиям статьи 184.1 БК РФ и статьи 22 Положения о бюджетном процессе.Значения всех характеристик представленного Проекта бюджета, указанных в текстовой части, соответствуют значениям этих показателей в табличной части Проекта бюджета.В статье 1 Проекта бюджета предлагается утвердить основные характеристики бюджета муниципальногоокруга на 2026 год и плановый период 2027 и 2028годов.</w:t>
      </w:r>
    </w:p>
    <w:p w14:paraId="16107B99">
      <w:pPr>
        <w:jc w:val="both"/>
        <w:rPr>
          <w:rFonts w:ascii="Arial CYR" w:hAnsi="Arial CYR" w:cs="Arial CYR"/>
          <w:b/>
          <w:bCs/>
        </w:rPr>
      </w:pPr>
      <w:r>
        <w:rPr>
          <w:sz w:val="24"/>
          <w:szCs w:val="24"/>
        </w:rPr>
        <w:t xml:space="preserve">       Общий объем доходов бюджета на 2026 год прогнозируется в сумме 1 129 814,6</w:t>
      </w:r>
    </w:p>
    <w:p w14:paraId="11625010">
      <w:pPr>
        <w:pStyle w:val="8"/>
        <w:spacing w:before="0" w:after="0" w:line="276" w:lineRule="auto"/>
        <w:ind w:right="113"/>
        <w:jc w:val="both"/>
        <w:rPr>
          <w:rFonts w:ascii="Times New Roman" w:hAnsi="Times New Roman"/>
          <w:sz w:val="24"/>
          <w:szCs w:val="24"/>
        </w:rPr>
      </w:pPr>
      <w:r>
        <w:rPr>
          <w:rFonts w:ascii="Times New Roman" w:hAnsi="Times New Roman"/>
          <w:sz w:val="24"/>
          <w:szCs w:val="24"/>
        </w:rPr>
        <w:t>тыс. руб., что на 3</w:t>
      </w:r>
      <w:r>
        <w:rPr>
          <w:rFonts w:hint="default" w:ascii="Times New Roman" w:hAnsi="Times New Roman"/>
          <w:sz w:val="24"/>
          <w:szCs w:val="24"/>
          <w:lang w:val="en-US"/>
        </w:rPr>
        <w:t>07 201.0</w:t>
      </w:r>
      <w:r>
        <w:rPr>
          <w:rFonts w:ascii="Times New Roman" w:hAnsi="Times New Roman"/>
          <w:sz w:val="24"/>
          <w:szCs w:val="24"/>
        </w:rPr>
        <w:t xml:space="preserve"> тыс. руб.  или на 21,</w:t>
      </w:r>
      <w:r>
        <w:rPr>
          <w:rFonts w:hint="default" w:ascii="Times New Roman" w:hAnsi="Times New Roman"/>
          <w:sz w:val="24"/>
          <w:szCs w:val="24"/>
          <w:lang w:val="en-US"/>
        </w:rPr>
        <w:t>4</w:t>
      </w:r>
      <w:r>
        <w:rPr>
          <w:rFonts w:ascii="Times New Roman" w:hAnsi="Times New Roman"/>
          <w:sz w:val="24"/>
          <w:szCs w:val="24"/>
        </w:rPr>
        <w:t xml:space="preserve">% меньше ожидаемой суммы доходов за 2025 год. Объем безвозмездных поступлений составит  845 869,8 тыс. руб. (меньше показателя 2025 г. на 349 544,9 тыс. руб. или на 29,2%). Доля безвозмездных поступлений на 2026 г. составит 75% в общем объеме доходов.  Налоговые  и неналоговые доходы  спрогнозированы в сумме 281 246,9 тыс. руб.  (доля в общем объеме доходов – 25,0%). Относительно 2025 года  - увеличение собственных доходов составит   с учетом спрогнозированных доходов сельских поселений  </w:t>
      </w:r>
      <w:r>
        <w:rPr>
          <w:rFonts w:hint="default" w:ascii="Times New Roman" w:hAnsi="Times New Roman"/>
          <w:sz w:val="24"/>
          <w:szCs w:val="24"/>
          <w:lang w:val="en-US"/>
        </w:rPr>
        <w:t>43 343.9</w:t>
      </w:r>
      <w:r>
        <w:rPr>
          <w:rFonts w:ascii="Times New Roman" w:hAnsi="Times New Roman"/>
          <w:sz w:val="24"/>
          <w:szCs w:val="24"/>
        </w:rPr>
        <w:t>тыс. руб.  или увеличение на 1</w:t>
      </w:r>
      <w:r>
        <w:rPr>
          <w:rFonts w:hint="default" w:ascii="Times New Roman" w:hAnsi="Times New Roman"/>
          <w:sz w:val="24"/>
          <w:szCs w:val="24"/>
          <w:lang w:val="en-US"/>
        </w:rPr>
        <w:t>7</w:t>
      </w:r>
      <w:r>
        <w:rPr>
          <w:rFonts w:hint="default" w:ascii="Times New Roman" w:hAnsi="Times New Roman"/>
          <w:sz w:val="24"/>
          <w:szCs w:val="24"/>
          <w:lang w:val="ru-RU"/>
        </w:rPr>
        <w:t>,</w:t>
      </w:r>
      <w:r>
        <w:rPr>
          <w:rFonts w:hint="default" w:ascii="Times New Roman" w:hAnsi="Times New Roman"/>
          <w:sz w:val="24"/>
          <w:szCs w:val="24"/>
          <w:lang w:val="en-US"/>
        </w:rPr>
        <w:t>5</w:t>
      </w:r>
      <w:r>
        <w:rPr>
          <w:rFonts w:ascii="Times New Roman" w:hAnsi="Times New Roman"/>
          <w:sz w:val="24"/>
          <w:szCs w:val="24"/>
        </w:rPr>
        <w:t xml:space="preserve">%.  </w:t>
      </w:r>
    </w:p>
    <w:p w14:paraId="03A62120">
      <w:pPr>
        <w:pStyle w:val="8"/>
        <w:tabs>
          <w:tab w:val="left" w:pos="426"/>
        </w:tabs>
        <w:spacing w:before="0" w:after="120" w:line="276" w:lineRule="auto"/>
        <w:ind w:right="113" w:hanging="567"/>
        <w:jc w:val="both"/>
        <w:rPr>
          <w:rFonts w:ascii="Times New Roman" w:hAnsi="Times New Roman"/>
          <w:sz w:val="24"/>
          <w:szCs w:val="24"/>
        </w:rPr>
      </w:pPr>
      <w:r>
        <w:rPr>
          <w:rFonts w:ascii="Times New Roman" w:hAnsi="Times New Roman"/>
          <w:sz w:val="24"/>
          <w:szCs w:val="24"/>
        </w:rPr>
        <w:t xml:space="preserve">                Расходы  бюджета на 2026 год планируются в объеме 1 128 814,6 тыс. рублей, что на 33</w:t>
      </w:r>
      <w:r>
        <w:rPr>
          <w:rFonts w:hint="default" w:ascii="Times New Roman" w:hAnsi="Times New Roman"/>
          <w:sz w:val="24"/>
          <w:szCs w:val="24"/>
          <w:lang w:val="ru-RU"/>
        </w:rPr>
        <w:t>2 281,6</w:t>
      </w:r>
      <w:r>
        <w:rPr>
          <w:rFonts w:ascii="Times New Roman" w:hAnsi="Times New Roman"/>
          <w:sz w:val="24"/>
          <w:szCs w:val="24"/>
        </w:rPr>
        <w:t xml:space="preserve"> тыс. рублей  или на 22,</w:t>
      </w:r>
      <w:r>
        <w:rPr>
          <w:rFonts w:hint="default" w:ascii="Times New Roman" w:hAnsi="Times New Roman"/>
          <w:sz w:val="24"/>
          <w:szCs w:val="24"/>
          <w:lang w:val="ru-RU"/>
        </w:rPr>
        <w:t>7</w:t>
      </w:r>
      <w:r>
        <w:rPr>
          <w:rFonts w:ascii="Times New Roman" w:hAnsi="Times New Roman"/>
          <w:sz w:val="24"/>
          <w:szCs w:val="24"/>
        </w:rPr>
        <w:t xml:space="preserve"> % меньше ожидаемого объема исполнения за 2025 год.</w:t>
      </w:r>
      <w:r>
        <w:rPr>
          <w:rFonts w:ascii="Times New Roman" w:hAnsi="Times New Roman"/>
          <w:sz w:val="24"/>
          <w:szCs w:val="24"/>
          <w:highlight w:val="none"/>
        </w:rPr>
        <w:t xml:space="preserve"> </w:t>
      </w:r>
      <w:r>
        <w:rPr>
          <w:rFonts w:ascii="Times New Roman" w:hAnsi="Times New Roman"/>
          <w:sz w:val="24"/>
          <w:szCs w:val="24"/>
        </w:rPr>
        <w:t>Уменьшение показателей относительно 2025года прогнозируется по следующим разделам, в том числе:</w:t>
      </w:r>
    </w:p>
    <w:p w14:paraId="17517BA7">
      <w:pPr>
        <w:pStyle w:val="8"/>
        <w:numPr>
          <w:ilvl w:val="0"/>
          <w:numId w:val="2"/>
        </w:numPr>
        <w:spacing w:before="0" w:after="120" w:line="276" w:lineRule="auto"/>
        <w:ind w:right="113"/>
        <w:jc w:val="both"/>
        <w:rPr>
          <w:rFonts w:ascii="Times New Roman" w:hAnsi="Times New Roman"/>
          <w:sz w:val="24"/>
          <w:szCs w:val="24"/>
        </w:rPr>
      </w:pPr>
      <w:r>
        <w:rPr>
          <w:rFonts w:ascii="Times New Roman" w:hAnsi="Times New Roman"/>
          <w:sz w:val="24"/>
          <w:szCs w:val="24"/>
        </w:rPr>
        <w:t>«Образование»  «-» 17</w:t>
      </w:r>
      <w:r>
        <w:rPr>
          <w:rFonts w:hint="default" w:ascii="Times New Roman" w:hAnsi="Times New Roman"/>
          <w:sz w:val="24"/>
          <w:szCs w:val="24"/>
          <w:lang w:val="ru-RU"/>
        </w:rPr>
        <w:t>7 529,1</w:t>
      </w:r>
      <w:r>
        <w:rPr>
          <w:rFonts w:ascii="Times New Roman" w:hAnsi="Times New Roman"/>
          <w:sz w:val="24"/>
          <w:szCs w:val="24"/>
        </w:rPr>
        <w:t xml:space="preserve">тыс. рублей, </w:t>
      </w:r>
    </w:p>
    <w:p w14:paraId="2C0183E5">
      <w:pPr>
        <w:pStyle w:val="8"/>
        <w:numPr>
          <w:ilvl w:val="0"/>
          <w:numId w:val="2"/>
        </w:numPr>
        <w:spacing w:before="0" w:after="120" w:line="276" w:lineRule="auto"/>
        <w:ind w:right="113"/>
        <w:jc w:val="both"/>
        <w:rPr>
          <w:rFonts w:ascii="Times New Roman" w:hAnsi="Times New Roman"/>
          <w:sz w:val="24"/>
          <w:szCs w:val="24"/>
        </w:rPr>
      </w:pPr>
      <w:r>
        <w:rPr>
          <w:rFonts w:ascii="Times New Roman" w:hAnsi="Times New Roman"/>
          <w:sz w:val="24"/>
          <w:szCs w:val="24"/>
        </w:rPr>
        <w:t xml:space="preserve">«Национальная экономика»   «-» 22 </w:t>
      </w:r>
      <w:r>
        <w:rPr>
          <w:rFonts w:hint="default" w:ascii="Times New Roman" w:hAnsi="Times New Roman"/>
          <w:sz w:val="24"/>
          <w:szCs w:val="24"/>
          <w:lang w:val="ru-RU"/>
        </w:rPr>
        <w:t>396,0</w:t>
      </w:r>
      <w:r>
        <w:rPr>
          <w:rFonts w:ascii="Times New Roman" w:hAnsi="Times New Roman"/>
          <w:sz w:val="24"/>
          <w:szCs w:val="24"/>
        </w:rPr>
        <w:t xml:space="preserve"> тыс. рублей, </w:t>
      </w:r>
    </w:p>
    <w:p w14:paraId="512DB3F1">
      <w:pPr>
        <w:pStyle w:val="8"/>
        <w:numPr>
          <w:ilvl w:val="0"/>
          <w:numId w:val="2"/>
        </w:numPr>
        <w:spacing w:before="0" w:after="120" w:line="276" w:lineRule="auto"/>
        <w:ind w:right="113"/>
        <w:jc w:val="both"/>
        <w:rPr>
          <w:rFonts w:ascii="Times New Roman" w:hAnsi="Times New Roman"/>
          <w:sz w:val="24"/>
          <w:szCs w:val="24"/>
        </w:rPr>
      </w:pPr>
      <w:r>
        <w:rPr>
          <w:rFonts w:ascii="Times New Roman" w:hAnsi="Times New Roman"/>
          <w:sz w:val="24"/>
          <w:szCs w:val="24"/>
        </w:rPr>
        <w:t xml:space="preserve"> «Культура»  «-» 14 </w:t>
      </w:r>
      <w:r>
        <w:rPr>
          <w:rFonts w:hint="default" w:ascii="Times New Roman" w:hAnsi="Times New Roman"/>
          <w:sz w:val="24"/>
          <w:szCs w:val="24"/>
          <w:lang w:val="ru-RU"/>
        </w:rPr>
        <w:t>552,1</w:t>
      </w:r>
      <w:r>
        <w:rPr>
          <w:rFonts w:ascii="Times New Roman" w:hAnsi="Times New Roman"/>
          <w:sz w:val="24"/>
          <w:szCs w:val="24"/>
        </w:rPr>
        <w:t xml:space="preserve"> тыс. рублей, </w:t>
      </w:r>
    </w:p>
    <w:p w14:paraId="615D16E4">
      <w:pPr>
        <w:pStyle w:val="8"/>
        <w:numPr>
          <w:ilvl w:val="0"/>
          <w:numId w:val="2"/>
        </w:numPr>
        <w:spacing w:before="0" w:after="120" w:line="276" w:lineRule="auto"/>
        <w:ind w:right="113"/>
        <w:jc w:val="both"/>
        <w:rPr>
          <w:rFonts w:ascii="Times New Roman" w:hAnsi="Times New Roman"/>
          <w:sz w:val="24"/>
          <w:szCs w:val="24"/>
        </w:rPr>
      </w:pPr>
      <w:r>
        <w:rPr>
          <w:rFonts w:ascii="Times New Roman" w:hAnsi="Times New Roman"/>
          <w:sz w:val="24"/>
          <w:szCs w:val="24"/>
        </w:rPr>
        <w:t xml:space="preserve"> «Социальная политика» «-» 6 013,1 тыс. рублей,  </w:t>
      </w:r>
    </w:p>
    <w:p w14:paraId="4B4409B6">
      <w:pPr>
        <w:pStyle w:val="8"/>
        <w:numPr>
          <w:ilvl w:val="0"/>
          <w:numId w:val="2"/>
        </w:numPr>
        <w:spacing w:before="0" w:after="120" w:line="276" w:lineRule="auto"/>
        <w:ind w:right="113"/>
        <w:jc w:val="both"/>
        <w:rPr>
          <w:rFonts w:ascii="Times New Roman" w:hAnsi="Times New Roman"/>
          <w:sz w:val="24"/>
          <w:szCs w:val="24"/>
        </w:rPr>
      </w:pPr>
      <w:r>
        <w:rPr>
          <w:rFonts w:ascii="Times New Roman" w:hAnsi="Times New Roman"/>
          <w:sz w:val="24"/>
          <w:szCs w:val="24"/>
        </w:rPr>
        <w:t xml:space="preserve">« Физическая культура и спорт» на </w:t>
      </w:r>
      <w:r>
        <w:rPr>
          <w:rFonts w:hint="default" w:ascii="Times New Roman" w:hAnsi="Times New Roman"/>
          <w:sz w:val="24"/>
          <w:szCs w:val="24"/>
          <w:lang w:val="ru-RU"/>
        </w:rPr>
        <w:t>«-»</w:t>
      </w:r>
      <w:r>
        <w:rPr>
          <w:rFonts w:ascii="Times New Roman" w:hAnsi="Times New Roman"/>
          <w:sz w:val="24"/>
          <w:szCs w:val="24"/>
        </w:rPr>
        <w:t xml:space="preserve">3 </w:t>
      </w:r>
      <w:r>
        <w:rPr>
          <w:rFonts w:hint="default" w:ascii="Times New Roman" w:hAnsi="Times New Roman"/>
          <w:sz w:val="24"/>
          <w:szCs w:val="24"/>
          <w:lang w:val="ru-RU"/>
        </w:rPr>
        <w:t>051,5</w:t>
      </w:r>
      <w:r>
        <w:rPr>
          <w:rFonts w:ascii="Times New Roman" w:hAnsi="Times New Roman"/>
          <w:sz w:val="24"/>
          <w:szCs w:val="24"/>
        </w:rPr>
        <w:t xml:space="preserve"> тыс. рублей, </w:t>
      </w:r>
    </w:p>
    <w:p w14:paraId="0C355FA4">
      <w:pPr>
        <w:pStyle w:val="8"/>
        <w:numPr>
          <w:ilvl w:val="0"/>
          <w:numId w:val="2"/>
        </w:numPr>
        <w:spacing w:before="0" w:after="120" w:line="276" w:lineRule="auto"/>
        <w:ind w:right="113"/>
        <w:jc w:val="both"/>
        <w:rPr>
          <w:rFonts w:ascii="Times New Roman" w:hAnsi="Times New Roman"/>
          <w:sz w:val="24"/>
          <w:szCs w:val="24"/>
        </w:rPr>
      </w:pPr>
      <w:r>
        <w:rPr>
          <w:rFonts w:ascii="Times New Roman" w:hAnsi="Times New Roman"/>
          <w:sz w:val="24"/>
          <w:szCs w:val="24"/>
        </w:rPr>
        <w:t>Жилищно-коммунальное хозяйство» «-»</w:t>
      </w:r>
      <w:r>
        <w:rPr>
          <w:rFonts w:hint="default" w:ascii="Times New Roman" w:hAnsi="Times New Roman"/>
          <w:sz w:val="24"/>
          <w:szCs w:val="24"/>
          <w:lang w:val="ru-RU"/>
        </w:rPr>
        <w:t xml:space="preserve"> </w:t>
      </w:r>
      <w:r>
        <w:rPr>
          <w:rFonts w:ascii="Times New Roman" w:hAnsi="Times New Roman"/>
          <w:sz w:val="24"/>
          <w:szCs w:val="24"/>
        </w:rPr>
        <w:t>6</w:t>
      </w:r>
      <w:r>
        <w:rPr>
          <w:rFonts w:hint="default" w:ascii="Times New Roman" w:hAnsi="Times New Roman"/>
          <w:sz w:val="24"/>
          <w:szCs w:val="24"/>
          <w:lang w:val="ru-RU"/>
        </w:rPr>
        <w:t>6 968,3</w:t>
      </w:r>
      <w:r>
        <w:rPr>
          <w:rFonts w:ascii="Times New Roman" w:hAnsi="Times New Roman"/>
          <w:sz w:val="24"/>
          <w:szCs w:val="24"/>
        </w:rPr>
        <w:t xml:space="preserve"> тыс. рублей, </w:t>
      </w:r>
    </w:p>
    <w:p w14:paraId="76A2C5DB">
      <w:pPr>
        <w:pStyle w:val="8"/>
        <w:numPr>
          <w:ilvl w:val="0"/>
          <w:numId w:val="2"/>
        </w:numPr>
        <w:spacing w:before="0" w:after="120" w:line="276" w:lineRule="auto"/>
        <w:ind w:right="113"/>
        <w:jc w:val="both"/>
        <w:rPr>
          <w:rFonts w:ascii="Times New Roman" w:hAnsi="Times New Roman"/>
          <w:sz w:val="24"/>
          <w:szCs w:val="24"/>
        </w:rPr>
      </w:pPr>
      <w:r>
        <w:rPr>
          <w:rFonts w:ascii="Times New Roman" w:hAnsi="Times New Roman"/>
          <w:sz w:val="24"/>
          <w:szCs w:val="24"/>
        </w:rPr>
        <w:t xml:space="preserve">«Межбюджетные трансферты другим бюджетам «-» 103 233,9 тыс. рублей. </w:t>
      </w:r>
    </w:p>
    <w:p w14:paraId="70EB1500">
      <w:pPr>
        <w:pStyle w:val="8"/>
        <w:tabs>
          <w:tab w:val="left" w:pos="400"/>
        </w:tabs>
        <w:spacing w:before="0" w:after="120" w:line="276" w:lineRule="auto"/>
        <w:ind w:left="360" w:right="113"/>
        <w:jc w:val="both"/>
        <w:rPr>
          <w:rFonts w:ascii="Times New Roman" w:hAnsi="Times New Roman"/>
          <w:sz w:val="24"/>
          <w:szCs w:val="24"/>
        </w:rPr>
      </w:pPr>
      <w:r>
        <w:rPr>
          <w:rFonts w:ascii="Times New Roman" w:hAnsi="Times New Roman"/>
          <w:sz w:val="24"/>
          <w:szCs w:val="24"/>
        </w:rPr>
        <w:t xml:space="preserve">Увеличение показателей относительно 2025года прогнозируется по разделу </w:t>
      </w:r>
      <w:r>
        <w:rPr>
          <w:rFonts w:hint="default" w:ascii="Times New Roman" w:hAnsi="Times New Roman"/>
          <w:sz w:val="24"/>
          <w:szCs w:val="24"/>
          <w:lang w:val="ru-RU"/>
        </w:rPr>
        <w:t>«</w:t>
      </w:r>
      <w:r>
        <w:rPr>
          <w:rFonts w:ascii="Times New Roman" w:hAnsi="Times New Roman"/>
          <w:sz w:val="24"/>
          <w:szCs w:val="24"/>
        </w:rPr>
        <w:t>Общегосударственные вопросы</w:t>
      </w:r>
      <w:r>
        <w:rPr>
          <w:rFonts w:hint="default" w:ascii="Times New Roman" w:hAnsi="Times New Roman"/>
          <w:sz w:val="24"/>
          <w:szCs w:val="24"/>
          <w:lang w:val="ru-RU"/>
        </w:rPr>
        <w:t xml:space="preserve">» </w:t>
      </w:r>
      <w:r>
        <w:rPr>
          <w:rFonts w:ascii="Times New Roman" w:hAnsi="Times New Roman"/>
          <w:sz w:val="24"/>
          <w:szCs w:val="24"/>
        </w:rPr>
        <w:t xml:space="preserve"> на 7</w:t>
      </w:r>
      <w:r>
        <w:rPr>
          <w:rFonts w:hint="default" w:ascii="Times New Roman" w:hAnsi="Times New Roman"/>
          <w:sz w:val="24"/>
          <w:szCs w:val="24"/>
          <w:lang w:val="ru-RU"/>
        </w:rPr>
        <w:t>6 703,1</w:t>
      </w:r>
      <w:r>
        <w:rPr>
          <w:rFonts w:ascii="Times New Roman" w:hAnsi="Times New Roman"/>
          <w:sz w:val="24"/>
          <w:szCs w:val="24"/>
        </w:rPr>
        <w:t xml:space="preserve"> тыс. рублей и разделу </w:t>
      </w:r>
      <w:r>
        <w:rPr>
          <w:rFonts w:hint="default" w:ascii="Times New Roman" w:hAnsi="Times New Roman"/>
          <w:sz w:val="24"/>
          <w:szCs w:val="24"/>
          <w:lang w:val="ru-RU"/>
        </w:rPr>
        <w:t>«</w:t>
      </w:r>
      <w:r>
        <w:rPr>
          <w:rFonts w:ascii="Times New Roman" w:hAnsi="Times New Roman"/>
          <w:sz w:val="24"/>
          <w:szCs w:val="24"/>
        </w:rPr>
        <w:t>Национальная оборона</w:t>
      </w:r>
      <w:r>
        <w:rPr>
          <w:rFonts w:hint="default" w:ascii="Times New Roman" w:hAnsi="Times New Roman"/>
          <w:sz w:val="24"/>
          <w:szCs w:val="24"/>
          <w:lang w:val="ru-RU"/>
        </w:rPr>
        <w:t>»</w:t>
      </w:r>
      <w:r>
        <w:rPr>
          <w:rFonts w:ascii="Times New Roman" w:hAnsi="Times New Roman"/>
          <w:sz w:val="24"/>
          <w:szCs w:val="24"/>
        </w:rPr>
        <w:t xml:space="preserve"> на сумму 1 791</w:t>
      </w:r>
      <w:r>
        <w:rPr>
          <w:rFonts w:hint="default" w:ascii="Times New Roman" w:hAnsi="Times New Roman"/>
          <w:sz w:val="24"/>
          <w:szCs w:val="24"/>
          <w:lang w:val="ru-RU"/>
        </w:rPr>
        <w:t>,</w:t>
      </w:r>
      <w:r>
        <w:rPr>
          <w:rFonts w:ascii="Times New Roman" w:hAnsi="Times New Roman"/>
          <w:sz w:val="24"/>
          <w:szCs w:val="24"/>
        </w:rPr>
        <w:t>5 тыс.рублей.</w:t>
      </w:r>
    </w:p>
    <w:p w14:paraId="5D8D5400">
      <w:pPr>
        <w:pStyle w:val="8"/>
        <w:tabs>
          <w:tab w:val="left" w:pos="400"/>
        </w:tabs>
        <w:spacing w:before="0" w:after="120" w:line="276" w:lineRule="auto"/>
        <w:ind w:right="113" w:hanging="567"/>
        <w:jc w:val="both"/>
        <w:rPr>
          <w:rFonts w:ascii="Times New Roman" w:hAnsi="Times New Roman"/>
          <w:sz w:val="24"/>
          <w:szCs w:val="24"/>
        </w:rPr>
      </w:pPr>
      <w:r>
        <w:rPr>
          <w:rFonts w:ascii="Times New Roman" w:hAnsi="Times New Roman"/>
          <w:sz w:val="24"/>
          <w:szCs w:val="24"/>
        </w:rPr>
        <w:t xml:space="preserve">             </w:t>
      </w:r>
      <w:r>
        <w:rPr>
          <w:rFonts w:hint="default" w:ascii="Times New Roman" w:hAnsi="Times New Roman"/>
          <w:sz w:val="24"/>
          <w:szCs w:val="24"/>
          <w:lang w:val="ru-RU"/>
        </w:rPr>
        <w:t xml:space="preserve">  </w:t>
      </w:r>
      <w:r>
        <w:rPr>
          <w:rFonts w:ascii="Times New Roman" w:hAnsi="Times New Roman"/>
          <w:sz w:val="24"/>
          <w:szCs w:val="24"/>
        </w:rPr>
        <w:t>Профицит бюджета на 2026 год запланирован в сумме1 000,0 тыс. руб.  Это сумма уплаты основного долга по бюджетным кредитам  из бюджета Забайкальского края.</w:t>
      </w:r>
    </w:p>
    <w:p w14:paraId="11DC5E24">
      <w:pPr>
        <w:pStyle w:val="8"/>
        <w:tabs>
          <w:tab w:val="left" w:pos="400"/>
        </w:tabs>
        <w:spacing w:before="0" w:after="120" w:line="276" w:lineRule="auto"/>
        <w:ind w:left="0" w:leftChars="0" w:right="113" w:firstLine="364" w:firstLineChars="0"/>
        <w:jc w:val="both"/>
        <w:rPr>
          <w:rFonts w:ascii="Times New Roman" w:hAnsi="Times New Roman"/>
          <w:sz w:val="24"/>
          <w:szCs w:val="24"/>
        </w:rPr>
      </w:pPr>
      <w:r>
        <w:rPr>
          <w:rFonts w:ascii="Times New Roman" w:hAnsi="Times New Roman"/>
          <w:sz w:val="24"/>
          <w:szCs w:val="24"/>
        </w:rPr>
        <w:t xml:space="preserve">Общий объем доходов бюджета на 2027 год  и 2028 год прогнозируется  соответственно в сумме 1 030 668,6 тыс. рублей и   993 148,1 тыс. рублей.  Объем безвозмездных поступлений составит в 2027 году  722 610,1 тыс. рублей,   в 2028 году-    682 702,7 тыс. рублей. Налоговые  и неналоговые доходы  спрогнозированы  на 2027год на  сумму 308 058,5 тыс. рублей, на 2028 год на сумму 310 445,4 тыс. рублей.  </w:t>
      </w:r>
    </w:p>
    <w:p w14:paraId="4E145242">
      <w:pPr>
        <w:pStyle w:val="8"/>
        <w:spacing w:before="0" w:after="100" w:afterAutospacing="1" w:line="276" w:lineRule="auto"/>
        <w:ind w:right="113" w:firstLine="360" w:firstLineChars="150"/>
        <w:jc w:val="both"/>
        <w:rPr>
          <w:rFonts w:ascii="Times New Roman" w:hAnsi="Times New Roman"/>
          <w:sz w:val="24"/>
          <w:szCs w:val="24"/>
        </w:rPr>
      </w:pPr>
      <w:r>
        <w:rPr>
          <w:rFonts w:ascii="Times New Roman" w:hAnsi="Times New Roman"/>
          <w:sz w:val="24"/>
          <w:szCs w:val="24"/>
        </w:rPr>
        <w:t xml:space="preserve">Расходы  на 2027 год и 2028год спрогнозированы   в сумме 1 030 668,6тыс. рублей  и 993 148,1 тыс. рублей. Проект бюджета на плановый период 2027-2028 годы сбалансирован. </w:t>
      </w:r>
    </w:p>
    <w:p w14:paraId="72CF8C68">
      <w:pPr>
        <w:pStyle w:val="8"/>
        <w:spacing w:before="120" w:after="0" w:line="276" w:lineRule="auto"/>
        <w:ind w:right="20"/>
        <w:jc w:val="center"/>
        <w:rPr>
          <w:rFonts w:ascii="Times New Roman" w:hAnsi="Times New Roman"/>
          <w:sz w:val="24"/>
          <w:szCs w:val="24"/>
        </w:rPr>
      </w:pPr>
    </w:p>
    <w:p w14:paraId="7CA49D3E">
      <w:pPr>
        <w:pStyle w:val="8"/>
        <w:spacing w:before="120" w:after="0" w:line="276" w:lineRule="auto"/>
        <w:ind w:right="20"/>
        <w:jc w:val="center"/>
        <w:rPr>
          <w:rFonts w:ascii="Times New Roman" w:hAnsi="Times New Roman"/>
          <w:sz w:val="24"/>
          <w:szCs w:val="24"/>
        </w:rPr>
      </w:pPr>
      <w:r>
        <w:rPr>
          <w:rFonts w:ascii="Times New Roman" w:hAnsi="Times New Roman"/>
          <w:sz w:val="24"/>
          <w:szCs w:val="24"/>
        </w:rPr>
        <w:t>Данные об основных параметрах бюджета муниципального округа на 2026 год и плановый период 2027 и 2028 годов  представлены в таблице 3.1 (тыс.руб.)</w:t>
      </w:r>
    </w:p>
    <w:p w14:paraId="5231499C">
      <w:pPr>
        <w:pStyle w:val="8"/>
        <w:spacing w:before="120" w:after="0" w:line="276" w:lineRule="auto"/>
        <w:ind w:right="20"/>
        <w:jc w:val="both"/>
        <w:rPr>
          <w:rFonts w:ascii="Times New Roman" w:hAnsi="Times New Roman"/>
          <w:sz w:val="24"/>
          <w:szCs w:val="24"/>
        </w:rPr>
      </w:pPr>
      <w:r>
        <w:drawing>
          <wp:inline distT="0" distB="0" distL="114300" distR="114300">
            <wp:extent cx="5845810" cy="4334510"/>
            <wp:effectExtent l="0" t="0" r="2540" b="889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845810" cy="4334510"/>
                    </a:xfrm>
                    <a:prstGeom prst="rect">
                      <a:avLst/>
                    </a:prstGeom>
                    <a:noFill/>
                    <a:ln>
                      <a:noFill/>
                    </a:ln>
                  </pic:spPr>
                </pic:pic>
              </a:graphicData>
            </a:graphic>
          </wp:inline>
        </w:drawing>
      </w:r>
    </w:p>
    <w:p w14:paraId="3C03C4AD">
      <w:pPr>
        <w:pStyle w:val="25"/>
        <w:keepNext/>
        <w:keepLines/>
        <w:shd w:val="clear" w:color="auto" w:fill="auto"/>
        <w:spacing w:before="0" w:after="0" w:line="240" w:lineRule="auto"/>
        <w:ind w:right="357" w:firstLine="0"/>
        <w:rPr>
          <w:rFonts w:ascii="Times New Roman" w:hAnsi="Times New Roman"/>
          <w:sz w:val="24"/>
          <w:szCs w:val="24"/>
        </w:rPr>
      </w:pPr>
    </w:p>
    <w:p w14:paraId="779CE2DB">
      <w:pPr>
        <w:pStyle w:val="25"/>
        <w:keepNext/>
        <w:keepLines/>
        <w:shd w:val="clear" w:color="auto" w:fill="auto"/>
        <w:spacing w:before="0" w:after="0" w:line="240" w:lineRule="auto"/>
        <w:ind w:right="357" w:firstLine="0"/>
        <w:rPr>
          <w:rFonts w:ascii="Times New Roman" w:hAnsi="Times New Roman"/>
          <w:sz w:val="24"/>
          <w:szCs w:val="24"/>
        </w:rPr>
      </w:pPr>
      <w:r>
        <w:rPr>
          <w:rFonts w:ascii="Times New Roman" w:hAnsi="Times New Roman"/>
          <w:sz w:val="24"/>
          <w:szCs w:val="24"/>
        </w:rPr>
        <w:t>3.1.Доходная часть проекта бюджета</w:t>
      </w:r>
    </w:p>
    <w:p w14:paraId="58B7ECBC">
      <w:pPr>
        <w:pStyle w:val="25"/>
        <w:keepNext/>
        <w:keepLines/>
        <w:shd w:val="clear" w:color="auto" w:fill="auto"/>
        <w:spacing w:before="0" w:after="0" w:line="240" w:lineRule="auto"/>
        <w:ind w:left="-1134" w:right="357" w:firstLine="1134"/>
        <w:jc w:val="left"/>
        <w:rPr>
          <w:rFonts w:ascii="Times New Roman" w:hAnsi="Times New Roman"/>
          <w:b w:val="0"/>
          <w:sz w:val="24"/>
          <w:szCs w:val="24"/>
        </w:rPr>
      </w:pPr>
    </w:p>
    <w:p w14:paraId="2301C7D5">
      <w:pPr>
        <w:pStyle w:val="25"/>
        <w:keepNext/>
        <w:keepLines/>
        <w:shd w:val="clear" w:color="auto" w:fill="auto"/>
        <w:tabs>
          <w:tab w:val="left" w:pos="426"/>
        </w:tabs>
        <w:spacing w:before="0" w:after="0" w:line="240" w:lineRule="auto"/>
        <w:ind w:right="357" w:firstLine="0"/>
        <w:jc w:val="left"/>
        <w:rPr>
          <w:rFonts w:ascii="Times New Roman" w:hAnsi="Times New Roman"/>
          <w:b w:val="0"/>
          <w:sz w:val="24"/>
          <w:szCs w:val="24"/>
        </w:rPr>
      </w:pPr>
      <w:r>
        <w:rPr>
          <w:rFonts w:ascii="Times New Roman" w:hAnsi="Times New Roman"/>
          <w:b w:val="0"/>
          <w:sz w:val="24"/>
          <w:szCs w:val="24"/>
        </w:rPr>
        <w:t>Согласно информации, изложенной в пояснительной записке к проекту          бюджета,  поступления доходов бюджета на 2026 год и плановый период 2027 и 2028 сформированы:</w:t>
      </w:r>
    </w:p>
    <w:p w14:paraId="165C0090">
      <w:pPr>
        <w:pStyle w:val="8"/>
        <w:shd w:val="clear" w:color="auto" w:fill="auto"/>
        <w:spacing w:before="0" w:after="0" w:line="276" w:lineRule="auto"/>
        <w:ind w:left="-1134" w:right="20" w:firstLine="1134"/>
        <w:jc w:val="both"/>
        <w:rPr>
          <w:rFonts w:ascii="Times New Roman" w:hAnsi="Times New Roman"/>
          <w:sz w:val="24"/>
          <w:szCs w:val="24"/>
        </w:rPr>
      </w:pPr>
      <w:r>
        <w:rPr>
          <w:rFonts w:ascii="Times New Roman" w:hAnsi="Times New Roman"/>
          <w:sz w:val="24"/>
          <w:szCs w:val="24"/>
        </w:rPr>
        <w:t xml:space="preserve">  -на основе бюджетной и налоговой политики;</w:t>
      </w:r>
    </w:p>
    <w:p w14:paraId="628E410B">
      <w:pPr>
        <w:tabs>
          <w:tab w:val="left" w:pos="284"/>
          <w:tab w:val="left" w:pos="567"/>
        </w:tabs>
        <w:jc w:val="both"/>
        <w:rPr>
          <w:sz w:val="24"/>
          <w:szCs w:val="24"/>
          <w:highlight w:val="yellow"/>
        </w:rPr>
      </w:pPr>
      <w:r>
        <w:rPr>
          <w:sz w:val="24"/>
          <w:szCs w:val="24"/>
        </w:rPr>
        <w:t xml:space="preserve">  -прогноза социально-экономического развития района</w:t>
      </w:r>
    </w:p>
    <w:p w14:paraId="06622DB3">
      <w:pPr>
        <w:pStyle w:val="8"/>
        <w:shd w:val="clear" w:color="auto" w:fill="auto"/>
        <w:tabs>
          <w:tab w:val="left" w:pos="284"/>
        </w:tabs>
        <w:spacing w:before="0" w:after="0" w:line="276" w:lineRule="auto"/>
        <w:ind w:right="20"/>
        <w:jc w:val="both"/>
        <w:rPr>
          <w:rFonts w:ascii="Times New Roman" w:hAnsi="Times New Roman"/>
          <w:sz w:val="24"/>
          <w:szCs w:val="24"/>
          <w:highlight w:val="yellow"/>
        </w:rPr>
      </w:pPr>
      <w:r>
        <w:rPr>
          <w:rFonts w:ascii="Times New Roman" w:hAnsi="Times New Roman"/>
          <w:sz w:val="24"/>
          <w:szCs w:val="24"/>
        </w:rPr>
        <w:t>-оценки поступлений доходов в бюджет муниципального района в 2025 году</w:t>
      </w:r>
      <w:r>
        <w:rPr>
          <w:sz w:val="24"/>
          <w:szCs w:val="24"/>
        </w:rPr>
        <w:t>.</w:t>
      </w:r>
    </w:p>
    <w:p w14:paraId="7F7FD250">
      <w:pPr>
        <w:pStyle w:val="8"/>
        <w:shd w:val="clear" w:color="auto" w:fill="auto"/>
        <w:tabs>
          <w:tab w:val="left" w:pos="200"/>
        </w:tabs>
        <w:spacing w:before="0" w:after="0" w:line="276" w:lineRule="auto"/>
        <w:ind w:right="20"/>
        <w:jc w:val="both"/>
        <w:rPr>
          <w:rFonts w:ascii="Times New Roman" w:hAnsi="Times New Roman"/>
          <w:sz w:val="24"/>
          <w:szCs w:val="24"/>
          <w:highlight w:val="yellow"/>
        </w:rPr>
      </w:pPr>
      <w:r>
        <w:rPr>
          <w:rFonts w:ascii="Times New Roman" w:hAnsi="Times New Roman"/>
          <w:sz w:val="24"/>
          <w:szCs w:val="24"/>
        </w:rPr>
        <w:t xml:space="preserve">      Проект бюджета  по доходам  на 2026 год сформирован на  1 129 814,6 тыс. руб., в том числе налоговые и неналоговые доходы в сумме 283 944,8 тыс. рублей, безвозмездные поступления в сумме 845 869,8 тыс. рублей.                                                     </w:t>
      </w:r>
    </w:p>
    <w:p w14:paraId="65B4404B">
      <w:pPr>
        <w:pStyle w:val="8"/>
        <w:shd w:val="clear" w:color="auto" w:fill="auto"/>
        <w:tabs>
          <w:tab w:val="left" w:pos="400"/>
          <w:tab w:val="left" w:pos="426"/>
        </w:tabs>
        <w:spacing w:before="0" w:after="0" w:line="276" w:lineRule="auto"/>
        <w:ind w:right="20" w:firstLine="343"/>
        <w:jc w:val="both"/>
        <w:rPr>
          <w:rFonts w:ascii="Times New Roman" w:hAnsi="Times New Roman"/>
          <w:sz w:val="24"/>
          <w:szCs w:val="24"/>
        </w:rPr>
      </w:pPr>
      <w:r>
        <w:rPr>
          <w:rFonts w:ascii="Times New Roman" w:hAnsi="Times New Roman"/>
          <w:sz w:val="24"/>
          <w:szCs w:val="24"/>
        </w:rPr>
        <w:t xml:space="preserve"> По данным отчета об исполнении бюджета муниципального района на 01.11.2025 года доходная часть составила 1 407 715.1 тыс. рублей, первоначальный бюджет по доходам  на 2025 год был утвержден в сумме 1 025 144,4 тыс. рублей. Увеличение доходной  части бюджета составило в текущем году 382 570,7 тыс. рублей, из них по собственным доходам  на сумму 7 332,0 тыс. рублей, по безвозмездным поступлениям на сумму 375 238,7тыс. рублей. Таким образом, есть основания полагать, что параметры бюджета в представленном проекте бюджета в течение 2026 года будут изменяться в сторону увеличения как в части собственных доходов местного бюджета, так и в части безвозмездных поступлений из краевого бюджета.  </w:t>
      </w:r>
      <w:bookmarkStart w:id="1" w:name="_Hlk219044169"/>
      <w:r>
        <w:rPr>
          <w:rFonts w:ascii="Times New Roman" w:hAnsi="Times New Roman"/>
          <w:sz w:val="24"/>
          <w:szCs w:val="24"/>
        </w:rPr>
        <w:t xml:space="preserve">Практика показывает, что безвозмездные поступления из краевого бюджета (субсидии, субвенции, межбюджетные трансферты) доводятся бюджету муниципального района в течение следующего планируемого года. </w:t>
      </w:r>
    </w:p>
    <w:bookmarkEnd w:id="1"/>
    <w:p w14:paraId="4F13798D">
      <w:pPr>
        <w:pStyle w:val="8"/>
        <w:shd w:val="clear" w:color="auto" w:fill="auto"/>
        <w:spacing w:before="0" w:after="0" w:line="276" w:lineRule="auto"/>
        <w:ind w:left="-567" w:right="20" w:firstLine="1134"/>
        <w:rPr>
          <w:rFonts w:ascii="Times New Roman" w:hAnsi="Times New Roman"/>
          <w:sz w:val="24"/>
          <w:szCs w:val="24"/>
        </w:rPr>
      </w:pPr>
    </w:p>
    <w:p w14:paraId="392AFD2D">
      <w:pPr>
        <w:pStyle w:val="8"/>
        <w:shd w:val="clear" w:color="auto" w:fill="auto"/>
        <w:spacing w:before="0" w:after="0" w:line="276" w:lineRule="auto"/>
        <w:ind w:right="20" w:firstLine="1134"/>
        <w:jc w:val="center"/>
        <w:rPr>
          <w:rFonts w:ascii="Times New Roman" w:hAnsi="Times New Roman"/>
          <w:sz w:val="24"/>
          <w:szCs w:val="24"/>
        </w:rPr>
      </w:pPr>
      <w:r>
        <w:rPr>
          <w:rFonts w:ascii="Times New Roman" w:hAnsi="Times New Roman"/>
          <w:sz w:val="24"/>
          <w:szCs w:val="24"/>
        </w:rPr>
        <w:t>Диаграмма 3.2. Структура доходов бюджета Дульдургинскогомуниципального округа  на 2026г.</w:t>
      </w:r>
    </w:p>
    <w:p w14:paraId="5A42CA67">
      <w:pPr>
        <w:pStyle w:val="8"/>
        <w:shd w:val="clear" w:color="auto" w:fill="auto"/>
        <w:spacing w:before="0" w:after="0" w:line="276" w:lineRule="auto"/>
        <w:ind w:right="20" w:firstLine="1134"/>
        <w:jc w:val="center"/>
        <w:rPr>
          <w:rFonts w:ascii="Times New Roman" w:hAnsi="Times New Roman"/>
          <w:sz w:val="24"/>
          <w:szCs w:val="24"/>
        </w:rPr>
      </w:pPr>
      <w:bookmarkStart w:id="4" w:name="_GoBack"/>
      <w:bookmarkEnd w:id="4"/>
    </w:p>
    <w:p w14:paraId="413F70DA">
      <w:pPr>
        <w:pStyle w:val="8"/>
        <w:shd w:val="clear" w:color="auto" w:fill="auto"/>
        <w:spacing w:before="0" w:after="0" w:line="276" w:lineRule="auto"/>
        <w:ind w:right="20" w:firstLine="20"/>
        <w:jc w:val="both"/>
        <w:rPr>
          <w:rFonts w:ascii="Times New Roman" w:hAnsi="Times New Roman"/>
          <w:sz w:val="24"/>
          <w:szCs w:val="24"/>
        </w:rPr>
      </w:pPr>
      <w:r>
        <w:drawing>
          <wp:inline distT="0" distB="0" distL="114300" distR="114300">
            <wp:extent cx="6135370" cy="1831975"/>
            <wp:effectExtent l="5080" t="4445" r="12700" b="11430"/>
            <wp:docPr id="2"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9D93C4E">
      <w:pPr>
        <w:pStyle w:val="8"/>
        <w:shd w:val="clear" w:color="auto" w:fill="auto"/>
        <w:spacing w:before="0" w:after="0" w:line="276" w:lineRule="auto"/>
        <w:ind w:right="20" w:firstLine="1134"/>
        <w:jc w:val="center"/>
        <w:rPr>
          <w:rFonts w:ascii="Times New Roman" w:hAnsi="Times New Roman"/>
          <w:sz w:val="24"/>
          <w:szCs w:val="24"/>
        </w:rPr>
      </w:pPr>
    </w:p>
    <w:p w14:paraId="0B2FB073">
      <w:pPr>
        <w:pStyle w:val="8"/>
        <w:shd w:val="clear" w:color="auto" w:fill="auto"/>
        <w:tabs>
          <w:tab w:val="left" w:pos="426"/>
        </w:tabs>
        <w:spacing w:before="0" w:after="0" w:line="276" w:lineRule="auto"/>
        <w:ind w:right="20" w:hanging="567"/>
        <w:rPr>
          <w:rFonts w:ascii="Times New Roman" w:hAnsi="Times New Roman"/>
          <w:sz w:val="24"/>
          <w:szCs w:val="24"/>
        </w:rPr>
      </w:pPr>
      <w:r>
        <w:rPr>
          <w:rFonts w:ascii="Times New Roman" w:hAnsi="Times New Roman"/>
          <w:sz w:val="24"/>
          <w:szCs w:val="24"/>
        </w:rPr>
        <w:t xml:space="preserve">                 Доходы местного бюджета формируются за счёт налоговых и неналоговых доходов, безвозмездных поступлений.  </w:t>
      </w:r>
    </w:p>
    <w:p w14:paraId="7697FBB4">
      <w:pPr>
        <w:pStyle w:val="8"/>
        <w:shd w:val="clear" w:color="auto" w:fill="auto"/>
        <w:tabs>
          <w:tab w:val="left" w:pos="426"/>
        </w:tabs>
        <w:spacing w:before="0" w:after="0" w:line="276" w:lineRule="auto"/>
        <w:ind w:right="20"/>
        <w:jc w:val="both"/>
        <w:rPr>
          <w:rFonts w:ascii="Times New Roman" w:hAnsi="Times New Roman"/>
          <w:sz w:val="24"/>
          <w:szCs w:val="24"/>
        </w:rPr>
      </w:pPr>
      <w:r>
        <w:rPr>
          <w:rFonts w:ascii="Times New Roman" w:hAnsi="Times New Roman"/>
          <w:sz w:val="24"/>
          <w:szCs w:val="24"/>
        </w:rPr>
        <w:t xml:space="preserve">       </w:t>
      </w:r>
    </w:p>
    <w:p w14:paraId="30119D10">
      <w:pPr>
        <w:pStyle w:val="8"/>
        <w:shd w:val="clear" w:color="auto" w:fill="auto"/>
        <w:tabs>
          <w:tab w:val="left" w:pos="426"/>
        </w:tabs>
        <w:spacing w:before="0" w:after="0" w:line="276" w:lineRule="auto"/>
        <w:ind w:right="20"/>
        <w:jc w:val="both"/>
        <w:rPr>
          <w:rFonts w:ascii="Times New Roman" w:hAnsi="Times New Roman"/>
          <w:sz w:val="24"/>
          <w:szCs w:val="24"/>
        </w:rPr>
      </w:pPr>
      <w:r>
        <w:rPr>
          <w:rFonts w:ascii="Times New Roman" w:hAnsi="Times New Roman"/>
          <w:sz w:val="24"/>
          <w:szCs w:val="24"/>
        </w:rPr>
        <w:t>Данные о налоговых и неналоговых доходах приведены в следующей таблице (таб.3.3.)</w:t>
      </w:r>
    </w:p>
    <w:p w14:paraId="2EC32E94">
      <w:pPr>
        <w:widowControl/>
        <w:ind w:firstLine="697"/>
        <w:jc w:val="right"/>
      </w:pPr>
      <w:r>
        <w:t>(тыс. рублей</w:t>
      </w:r>
    </w:p>
    <w:tbl>
      <w:tblPr>
        <w:tblStyle w:val="3"/>
        <w:tblW w:w="94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2441"/>
        <w:gridCol w:w="1275"/>
        <w:gridCol w:w="1275"/>
        <w:gridCol w:w="1416"/>
        <w:gridCol w:w="1400"/>
        <w:gridCol w:w="1600"/>
        <w:gridCol w:w="20"/>
      </w:tblGrid>
      <w:tr w14:paraId="7C975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blHeader/>
          <w:jc w:val="center"/>
        </w:trPr>
        <w:tc>
          <w:tcPr>
            <w:tcW w:w="2441" w:type="dxa"/>
            <w:vMerge w:val="restart"/>
            <w:shd w:val="clear" w:color="auto" w:fill="auto"/>
            <w:noWrap/>
          </w:tcPr>
          <w:p w14:paraId="10DEAD59">
            <w:pPr>
              <w:widowControl/>
              <w:autoSpaceDE/>
              <w:autoSpaceDN/>
              <w:adjustRightInd/>
              <w:jc w:val="center"/>
              <w:rPr>
                <w:b/>
                <w:sz w:val="22"/>
                <w:szCs w:val="22"/>
              </w:rPr>
            </w:pPr>
          </w:p>
          <w:p w14:paraId="49ACF10B">
            <w:pPr>
              <w:widowControl/>
              <w:autoSpaceDE/>
              <w:autoSpaceDN/>
              <w:adjustRightInd/>
              <w:jc w:val="center"/>
              <w:rPr>
                <w:b/>
                <w:sz w:val="22"/>
                <w:szCs w:val="22"/>
              </w:rPr>
            </w:pPr>
            <w:r>
              <w:rPr>
                <w:b/>
                <w:sz w:val="22"/>
                <w:szCs w:val="22"/>
              </w:rPr>
              <w:t>Налоговые и неналоговые доходы</w:t>
            </w:r>
          </w:p>
        </w:tc>
        <w:tc>
          <w:tcPr>
            <w:tcW w:w="1275" w:type="dxa"/>
            <w:shd w:val="clear" w:color="auto" w:fill="auto"/>
            <w:noWrap/>
          </w:tcPr>
          <w:p w14:paraId="0AA8184D">
            <w:pPr>
              <w:widowControl/>
              <w:autoSpaceDE/>
              <w:autoSpaceDN/>
              <w:adjustRightInd/>
              <w:jc w:val="center"/>
              <w:rPr>
                <w:b/>
                <w:sz w:val="22"/>
                <w:szCs w:val="22"/>
              </w:rPr>
            </w:pPr>
            <w:r>
              <w:rPr>
                <w:b/>
                <w:sz w:val="22"/>
                <w:szCs w:val="22"/>
              </w:rPr>
              <w:t>20</w:t>
            </w:r>
            <w:r>
              <w:rPr>
                <w:b/>
                <w:sz w:val="22"/>
                <w:szCs w:val="22"/>
                <w:lang w:val="en-US"/>
              </w:rPr>
              <w:t>2</w:t>
            </w:r>
            <w:r>
              <w:rPr>
                <w:b/>
                <w:sz w:val="22"/>
                <w:szCs w:val="22"/>
              </w:rPr>
              <w:t xml:space="preserve">2год </w:t>
            </w:r>
          </w:p>
        </w:tc>
        <w:tc>
          <w:tcPr>
            <w:tcW w:w="1275" w:type="dxa"/>
            <w:shd w:val="clear" w:color="auto" w:fill="auto"/>
            <w:noWrap/>
          </w:tcPr>
          <w:p w14:paraId="6DB90BA0">
            <w:pPr>
              <w:widowControl/>
              <w:autoSpaceDE/>
              <w:autoSpaceDN/>
              <w:adjustRightInd/>
              <w:jc w:val="center"/>
              <w:rPr>
                <w:b/>
                <w:sz w:val="22"/>
                <w:szCs w:val="22"/>
              </w:rPr>
            </w:pPr>
            <w:r>
              <w:rPr>
                <w:b/>
                <w:sz w:val="22"/>
                <w:szCs w:val="22"/>
              </w:rPr>
              <w:t xml:space="preserve">2023 год </w:t>
            </w:r>
          </w:p>
        </w:tc>
        <w:tc>
          <w:tcPr>
            <w:tcW w:w="1416" w:type="dxa"/>
            <w:shd w:val="clear" w:color="auto" w:fill="auto"/>
            <w:noWrap/>
          </w:tcPr>
          <w:p w14:paraId="6EFFE82B">
            <w:pPr>
              <w:widowControl/>
              <w:autoSpaceDE/>
              <w:autoSpaceDN/>
              <w:adjustRightInd/>
              <w:jc w:val="center"/>
              <w:rPr>
                <w:b/>
                <w:sz w:val="22"/>
                <w:szCs w:val="22"/>
              </w:rPr>
            </w:pPr>
            <w:r>
              <w:rPr>
                <w:b/>
                <w:sz w:val="22"/>
                <w:szCs w:val="22"/>
                <w:lang w:val="en-US"/>
              </w:rPr>
              <w:t>202</w:t>
            </w:r>
            <w:r>
              <w:rPr>
                <w:b/>
                <w:sz w:val="22"/>
                <w:szCs w:val="22"/>
              </w:rPr>
              <w:t>4год</w:t>
            </w:r>
          </w:p>
        </w:tc>
        <w:tc>
          <w:tcPr>
            <w:tcW w:w="3020" w:type="dxa"/>
            <w:gridSpan w:val="3"/>
            <w:shd w:val="clear" w:color="auto" w:fill="auto"/>
            <w:noWrap/>
            <w:vAlign w:val="bottom"/>
          </w:tcPr>
          <w:p w14:paraId="6A7A9AF3">
            <w:pPr>
              <w:widowControl/>
              <w:autoSpaceDE/>
              <w:autoSpaceDN/>
              <w:adjustRightInd/>
              <w:jc w:val="center"/>
              <w:rPr>
                <w:b/>
                <w:sz w:val="22"/>
                <w:szCs w:val="22"/>
              </w:rPr>
            </w:pPr>
            <w:r>
              <w:rPr>
                <w:b/>
                <w:sz w:val="22"/>
                <w:szCs w:val="22"/>
                <w:lang w:val="en-US"/>
              </w:rPr>
              <w:t>202</w:t>
            </w:r>
            <w:r>
              <w:rPr>
                <w:b/>
                <w:sz w:val="22"/>
                <w:szCs w:val="22"/>
              </w:rPr>
              <w:t xml:space="preserve">5 </w:t>
            </w:r>
            <w:r>
              <w:rPr>
                <w:b/>
                <w:sz w:val="22"/>
                <w:szCs w:val="22"/>
                <w:lang w:val="en-US"/>
              </w:rPr>
              <w:t>год</w:t>
            </w:r>
          </w:p>
        </w:tc>
      </w:tr>
      <w:tr w14:paraId="4007F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gridAfter w:val="1"/>
          <w:wAfter w:w="20" w:type="dxa"/>
          <w:tblHeader/>
          <w:jc w:val="center"/>
        </w:trPr>
        <w:tc>
          <w:tcPr>
            <w:tcW w:w="2441" w:type="dxa"/>
            <w:vMerge w:val="continue"/>
            <w:shd w:val="clear" w:color="auto" w:fill="auto"/>
            <w:noWrap/>
          </w:tcPr>
          <w:p w14:paraId="557EAF75">
            <w:pPr>
              <w:widowControl/>
              <w:autoSpaceDE/>
              <w:autoSpaceDN/>
              <w:adjustRightInd/>
              <w:jc w:val="both"/>
              <w:rPr>
                <w:b/>
                <w:sz w:val="22"/>
                <w:szCs w:val="22"/>
              </w:rPr>
            </w:pPr>
          </w:p>
        </w:tc>
        <w:tc>
          <w:tcPr>
            <w:tcW w:w="1275" w:type="dxa"/>
            <w:shd w:val="clear" w:color="auto" w:fill="auto"/>
            <w:noWrap/>
          </w:tcPr>
          <w:p w14:paraId="781E0B38">
            <w:pPr>
              <w:widowControl/>
              <w:autoSpaceDE/>
              <w:autoSpaceDN/>
              <w:adjustRightInd/>
              <w:jc w:val="center"/>
              <w:rPr>
                <w:b/>
              </w:rPr>
            </w:pPr>
          </w:p>
          <w:p w14:paraId="33A15CE1">
            <w:pPr>
              <w:widowControl/>
              <w:autoSpaceDE/>
              <w:autoSpaceDN/>
              <w:adjustRightInd/>
              <w:jc w:val="center"/>
              <w:rPr>
                <w:b/>
              </w:rPr>
            </w:pPr>
            <w:r>
              <w:rPr>
                <w:b/>
              </w:rPr>
              <w:t>Факт</w:t>
            </w:r>
          </w:p>
        </w:tc>
        <w:tc>
          <w:tcPr>
            <w:tcW w:w="1275" w:type="dxa"/>
            <w:shd w:val="clear" w:color="auto" w:fill="auto"/>
            <w:noWrap/>
          </w:tcPr>
          <w:p w14:paraId="5074EF31">
            <w:pPr>
              <w:widowControl/>
              <w:autoSpaceDE/>
              <w:autoSpaceDN/>
              <w:adjustRightInd/>
              <w:jc w:val="center"/>
              <w:rPr>
                <w:b/>
              </w:rPr>
            </w:pPr>
          </w:p>
          <w:p w14:paraId="31090145">
            <w:pPr>
              <w:widowControl/>
              <w:autoSpaceDE/>
              <w:autoSpaceDN/>
              <w:adjustRightInd/>
              <w:jc w:val="center"/>
              <w:rPr>
                <w:b/>
              </w:rPr>
            </w:pPr>
            <w:r>
              <w:rPr>
                <w:b/>
              </w:rPr>
              <w:t>Факт</w:t>
            </w:r>
          </w:p>
        </w:tc>
        <w:tc>
          <w:tcPr>
            <w:tcW w:w="1416" w:type="dxa"/>
            <w:shd w:val="clear" w:color="auto" w:fill="auto"/>
            <w:noWrap/>
          </w:tcPr>
          <w:p w14:paraId="41827F12">
            <w:pPr>
              <w:widowControl/>
              <w:autoSpaceDE/>
              <w:autoSpaceDN/>
              <w:adjustRightInd/>
              <w:jc w:val="center"/>
              <w:rPr>
                <w:b/>
              </w:rPr>
            </w:pPr>
          </w:p>
          <w:p w14:paraId="4651A88F">
            <w:pPr>
              <w:widowControl/>
              <w:autoSpaceDE/>
              <w:autoSpaceDN/>
              <w:adjustRightInd/>
              <w:jc w:val="center"/>
              <w:rPr>
                <w:b/>
              </w:rPr>
            </w:pPr>
            <w:r>
              <w:rPr>
                <w:b/>
              </w:rPr>
              <w:t>факт</w:t>
            </w:r>
          </w:p>
        </w:tc>
        <w:tc>
          <w:tcPr>
            <w:tcW w:w="1400" w:type="dxa"/>
            <w:shd w:val="clear" w:color="auto" w:fill="auto"/>
            <w:noWrap/>
            <w:vAlign w:val="center"/>
          </w:tcPr>
          <w:p w14:paraId="45BC59AE">
            <w:pPr>
              <w:widowControl/>
              <w:autoSpaceDE/>
              <w:autoSpaceDN/>
              <w:adjustRightInd/>
              <w:jc w:val="center"/>
              <w:rPr>
                <w:b/>
              </w:rPr>
            </w:pPr>
            <w:r>
              <w:rPr>
                <w:b/>
              </w:rPr>
              <w:t>Утверждено по данным отчета на 01.10.2025г</w:t>
            </w:r>
          </w:p>
        </w:tc>
        <w:tc>
          <w:tcPr>
            <w:tcW w:w="1600" w:type="dxa"/>
            <w:shd w:val="clear" w:color="auto" w:fill="auto"/>
            <w:noWrap/>
            <w:vAlign w:val="center"/>
          </w:tcPr>
          <w:p w14:paraId="65C938FB">
            <w:pPr>
              <w:widowControl/>
              <w:autoSpaceDE/>
              <w:autoSpaceDN/>
              <w:adjustRightInd/>
              <w:jc w:val="center"/>
              <w:rPr>
                <w:b/>
              </w:rPr>
            </w:pPr>
            <w:r>
              <w:rPr>
                <w:b/>
              </w:rPr>
              <w:t>Ожидаемая оценка исполнения</w:t>
            </w:r>
            <w:r>
              <w:rPr>
                <w:b/>
                <w:bCs/>
              </w:rPr>
              <w:t xml:space="preserve"> за 2025 год</w:t>
            </w:r>
            <w:r>
              <w:rPr>
                <w:b/>
              </w:rPr>
              <w:t xml:space="preserve"> по данным </w:t>
            </w:r>
          </w:p>
          <w:p w14:paraId="739BEE0A">
            <w:pPr>
              <w:widowControl/>
              <w:autoSpaceDE/>
              <w:autoSpaceDN/>
              <w:adjustRightInd/>
              <w:jc w:val="center"/>
              <w:rPr>
                <w:b/>
              </w:rPr>
            </w:pPr>
            <w:r>
              <w:rPr>
                <w:b/>
              </w:rPr>
              <w:t>проекта бюджета</w:t>
            </w:r>
          </w:p>
        </w:tc>
      </w:tr>
      <w:tr w14:paraId="215A6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blHeader/>
          <w:jc w:val="center"/>
        </w:trPr>
        <w:tc>
          <w:tcPr>
            <w:tcW w:w="2441" w:type="dxa"/>
            <w:shd w:val="clear" w:color="auto" w:fill="FFFFFF"/>
            <w:noWrap/>
          </w:tcPr>
          <w:p w14:paraId="0C5AC553">
            <w:pPr>
              <w:widowControl/>
              <w:autoSpaceDE/>
              <w:autoSpaceDN/>
              <w:adjustRightInd/>
              <w:rPr>
                <w:b/>
              </w:rPr>
            </w:pPr>
            <w:r>
              <w:rPr>
                <w:b/>
              </w:rPr>
              <w:t xml:space="preserve">Всего налоговые и неналоговые доходы, </w:t>
            </w:r>
          </w:p>
          <w:p w14:paraId="1150AAAA">
            <w:pPr>
              <w:widowControl/>
              <w:autoSpaceDE/>
              <w:autoSpaceDN/>
              <w:adjustRightInd/>
              <w:rPr>
                <w:b/>
              </w:rPr>
            </w:pPr>
            <w:r>
              <w:t>из них:</w:t>
            </w:r>
          </w:p>
        </w:tc>
        <w:tc>
          <w:tcPr>
            <w:tcW w:w="1275" w:type="dxa"/>
            <w:shd w:val="clear" w:color="auto" w:fill="auto"/>
            <w:noWrap/>
            <w:vAlign w:val="center"/>
          </w:tcPr>
          <w:p w14:paraId="5EB0075C">
            <w:pPr>
              <w:widowControl/>
              <w:shd w:val="clear" w:color="auto" w:fill="FFFFFF"/>
              <w:jc w:val="center"/>
              <w:rPr>
                <w:b/>
              </w:rPr>
            </w:pPr>
            <w:r>
              <w:rPr>
                <w:b/>
              </w:rPr>
              <w:t>164 928,5</w:t>
            </w:r>
          </w:p>
        </w:tc>
        <w:tc>
          <w:tcPr>
            <w:tcW w:w="1275" w:type="dxa"/>
            <w:shd w:val="clear" w:color="auto" w:fill="auto"/>
            <w:noWrap/>
            <w:vAlign w:val="center"/>
          </w:tcPr>
          <w:p w14:paraId="221738D4">
            <w:pPr>
              <w:widowControl/>
              <w:shd w:val="clear" w:color="auto" w:fill="FFFFFF"/>
              <w:jc w:val="center"/>
              <w:rPr>
                <w:b/>
              </w:rPr>
            </w:pPr>
            <w:r>
              <w:rPr>
                <w:b/>
              </w:rPr>
              <w:t>182 931,0</w:t>
            </w:r>
          </w:p>
        </w:tc>
        <w:tc>
          <w:tcPr>
            <w:tcW w:w="1416" w:type="dxa"/>
            <w:shd w:val="clear" w:color="auto" w:fill="auto"/>
            <w:noWrap/>
            <w:vAlign w:val="center"/>
          </w:tcPr>
          <w:p w14:paraId="6FEBDFC6">
            <w:pPr>
              <w:widowControl/>
              <w:shd w:val="clear" w:color="auto" w:fill="FFFFFF"/>
              <w:jc w:val="center"/>
              <w:rPr>
                <w:b/>
              </w:rPr>
            </w:pPr>
            <w:r>
              <w:rPr>
                <w:b/>
              </w:rPr>
              <w:t>212 047,9</w:t>
            </w:r>
          </w:p>
        </w:tc>
        <w:tc>
          <w:tcPr>
            <w:tcW w:w="1400" w:type="dxa"/>
            <w:shd w:val="clear" w:color="auto" w:fill="auto"/>
            <w:noWrap/>
            <w:vAlign w:val="center"/>
          </w:tcPr>
          <w:p w14:paraId="46F4A910">
            <w:pPr>
              <w:widowControl/>
              <w:shd w:val="clear" w:color="auto" w:fill="FFFFFF"/>
              <w:jc w:val="center"/>
              <w:rPr>
                <w:b/>
              </w:rPr>
            </w:pPr>
            <w:r>
              <w:rPr>
                <w:b/>
              </w:rPr>
              <w:t>212 284,4</w:t>
            </w:r>
          </w:p>
        </w:tc>
        <w:tc>
          <w:tcPr>
            <w:tcW w:w="1620" w:type="dxa"/>
            <w:gridSpan w:val="2"/>
            <w:shd w:val="clear" w:color="auto" w:fill="auto"/>
            <w:noWrap/>
            <w:vAlign w:val="center"/>
          </w:tcPr>
          <w:p w14:paraId="3306A7A6">
            <w:pPr>
              <w:widowControl/>
              <w:shd w:val="clear" w:color="auto" w:fill="FFFFFF"/>
              <w:jc w:val="center"/>
              <w:rPr>
                <w:b/>
              </w:rPr>
            </w:pPr>
            <w:r>
              <w:rPr>
                <w:b/>
              </w:rPr>
              <w:t>241 600,9</w:t>
            </w:r>
          </w:p>
        </w:tc>
      </w:tr>
      <w:tr w14:paraId="6A88E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jc w:val="center"/>
        </w:trPr>
        <w:tc>
          <w:tcPr>
            <w:tcW w:w="2441" w:type="dxa"/>
            <w:shd w:val="clear" w:color="auto" w:fill="FFFFFF"/>
            <w:noWrap/>
          </w:tcPr>
          <w:p w14:paraId="2434AAA0">
            <w:pPr>
              <w:widowControl/>
              <w:autoSpaceDE/>
              <w:autoSpaceDN/>
              <w:adjustRightInd/>
            </w:pPr>
            <w:r>
              <w:t>Налог на доходы физических лиц</w:t>
            </w:r>
          </w:p>
        </w:tc>
        <w:tc>
          <w:tcPr>
            <w:tcW w:w="1275" w:type="dxa"/>
            <w:shd w:val="clear" w:color="auto" w:fill="auto"/>
            <w:noWrap/>
            <w:vAlign w:val="center"/>
          </w:tcPr>
          <w:p w14:paraId="138272FA">
            <w:pPr>
              <w:widowControl/>
              <w:shd w:val="clear" w:color="auto" w:fill="FFFFFF"/>
              <w:jc w:val="center"/>
            </w:pPr>
          </w:p>
          <w:p w14:paraId="0E8192CD">
            <w:pPr>
              <w:widowControl/>
              <w:shd w:val="clear" w:color="auto" w:fill="FFFFFF"/>
              <w:jc w:val="center"/>
            </w:pPr>
            <w:r>
              <w:t>133 765,1</w:t>
            </w:r>
          </w:p>
          <w:p w14:paraId="1BE97BDF">
            <w:pPr>
              <w:widowControl/>
              <w:shd w:val="clear" w:color="auto" w:fill="FFFFFF"/>
              <w:jc w:val="center"/>
            </w:pPr>
          </w:p>
        </w:tc>
        <w:tc>
          <w:tcPr>
            <w:tcW w:w="1275" w:type="dxa"/>
            <w:shd w:val="clear" w:color="auto" w:fill="auto"/>
            <w:noWrap/>
            <w:vAlign w:val="center"/>
          </w:tcPr>
          <w:p w14:paraId="6741D2BB">
            <w:pPr>
              <w:widowControl/>
              <w:shd w:val="clear" w:color="auto" w:fill="FFFFFF"/>
              <w:jc w:val="center"/>
              <w:rPr>
                <w:highlight w:val="yellow"/>
              </w:rPr>
            </w:pPr>
          </w:p>
          <w:p w14:paraId="633E3D07">
            <w:pPr>
              <w:widowControl/>
              <w:shd w:val="clear" w:color="auto" w:fill="FFFFFF"/>
              <w:jc w:val="center"/>
            </w:pPr>
            <w:r>
              <w:t>149 497,3</w:t>
            </w:r>
          </w:p>
          <w:p w14:paraId="65B8215D">
            <w:pPr>
              <w:widowControl/>
              <w:shd w:val="clear" w:color="auto" w:fill="FFFFFF"/>
              <w:jc w:val="center"/>
              <w:rPr>
                <w:lang w:val="en-US"/>
              </w:rPr>
            </w:pPr>
          </w:p>
        </w:tc>
        <w:tc>
          <w:tcPr>
            <w:tcW w:w="1416" w:type="dxa"/>
            <w:shd w:val="clear" w:color="auto" w:fill="auto"/>
            <w:noWrap/>
          </w:tcPr>
          <w:p w14:paraId="63E4D53C">
            <w:pPr>
              <w:widowControl/>
              <w:shd w:val="clear" w:color="auto" w:fill="FFFFFF"/>
              <w:jc w:val="center"/>
              <w:rPr>
                <w:highlight w:val="yellow"/>
              </w:rPr>
            </w:pPr>
          </w:p>
          <w:p w14:paraId="5CD54094">
            <w:pPr>
              <w:widowControl/>
              <w:shd w:val="clear" w:color="auto" w:fill="FFFFFF"/>
              <w:jc w:val="center"/>
              <w:rPr>
                <w:highlight w:val="yellow"/>
              </w:rPr>
            </w:pPr>
            <w:r>
              <w:t>173 61</w:t>
            </w:r>
            <w:r>
              <w:rPr>
                <w:rFonts w:hint="default"/>
                <w:lang w:val="ru-RU"/>
              </w:rPr>
              <w:t>8</w:t>
            </w:r>
            <w:r>
              <w:t>,7</w:t>
            </w:r>
          </w:p>
        </w:tc>
        <w:tc>
          <w:tcPr>
            <w:tcW w:w="1400" w:type="dxa"/>
            <w:shd w:val="clear" w:color="auto" w:fill="auto"/>
            <w:noWrap/>
            <w:vAlign w:val="center"/>
          </w:tcPr>
          <w:p w14:paraId="7C1B492D">
            <w:pPr>
              <w:widowControl/>
              <w:shd w:val="clear" w:color="auto" w:fill="FFFFFF"/>
              <w:jc w:val="center"/>
              <w:rPr>
                <w:rFonts w:hint="default"/>
                <w:lang w:val="ru-RU"/>
              </w:rPr>
            </w:pPr>
            <w:r>
              <w:t>173 830,</w:t>
            </w:r>
            <w:r>
              <w:rPr>
                <w:rFonts w:hint="default"/>
                <w:lang w:val="ru-RU"/>
              </w:rPr>
              <w:t>8</w:t>
            </w:r>
          </w:p>
        </w:tc>
        <w:tc>
          <w:tcPr>
            <w:tcW w:w="1620" w:type="dxa"/>
            <w:gridSpan w:val="2"/>
            <w:shd w:val="clear" w:color="auto" w:fill="auto"/>
            <w:noWrap/>
            <w:vAlign w:val="center"/>
          </w:tcPr>
          <w:p w14:paraId="3DD33444">
            <w:pPr>
              <w:widowControl/>
              <w:shd w:val="clear" w:color="auto" w:fill="FFFFFF"/>
              <w:jc w:val="center"/>
            </w:pPr>
            <w:r>
              <w:t>192 898,2</w:t>
            </w:r>
          </w:p>
        </w:tc>
      </w:tr>
      <w:tr w14:paraId="00F4C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954" w:hRule="atLeast"/>
          <w:jc w:val="center"/>
        </w:trPr>
        <w:tc>
          <w:tcPr>
            <w:tcW w:w="2441" w:type="dxa"/>
            <w:shd w:val="clear" w:color="auto" w:fill="FFFFFF"/>
            <w:noWrap/>
          </w:tcPr>
          <w:p w14:paraId="20AD2DC2">
            <w:pPr>
              <w:widowControl/>
              <w:autoSpaceDE/>
              <w:autoSpaceDN/>
              <w:adjustRightInd/>
            </w:pPr>
            <w:r>
              <w:t>Акцизы по подакцизным товарам (продукции), производимым на территории РФ</w:t>
            </w:r>
          </w:p>
        </w:tc>
        <w:tc>
          <w:tcPr>
            <w:tcW w:w="1275" w:type="dxa"/>
            <w:shd w:val="clear" w:color="auto" w:fill="auto"/>
            <w:noWrap/>
            <w:vAlign w:val="center"/>
          </w:tcPr>
          <w:p w14:paraId="2EC135E2">
            <w:pPr>
              <w:widowControl/>
              <w:shd w:val="clear" w:color="auto" w:fill="FFFFFF"/>
              <w:jc w:val="center"/>
            </w:pPr>
            <w:r>
              <w:t>22 285,0</w:t>
            </w:r>
          </w:p>
        </w:tc>
        <w:tc>
          <w:tcPr>
            <w:tcW w:w="1275" w:type="dxa"/>
            <w:shd w:val="clear" w:color="auto" w:fill="auto"/>
            <w:noWrap/>
            <w:vAlign w:val="center"/>
          </w:tcPr>
          <w:p w14:paraId="453CE0BD">
            <w:pPr>
              <w:widowControl/>
              <w:shd w:val="clear" w:color="auto" w:fill="FFFFFF"/>
              <w:jc w:val="center"/>
            </w:pPr>
            <w:r>
              <w:t>23 287,7</w:t>
            </w:r>
          </w:p>
        </w:tc>
        <w:tc>
          <w:tcPr>
            <w:tcW w:w="1416" w:type="dxa"/>
            <w:shd w:val="clear" w:color="auto" w:fill="auto"/>
            <w:noWrap/>
            <w:vAlign w:val="center"/>
          </w:tcPr>
          <w:p w14:paraId="4B8690FF">
            <w:pPr>
              <w:widowControl/>
              <w:shd w:val="clear" w:color="auto" w:fill="FFFFFF"/>
              <w:jc w:val="center"/>
            </w:pPr>
            <w:r>
              <w:t>24 580,4</w:t>
            </w:r>
          </w:p>
        </w:tc>
        <w:tc>
          <w:tcPr>
            <w:tcW w:w="1400" w:type="dxa"/>
            <w:shd w:val="clear" w:color="auto" w:fill="auto"/>
            <w:noWrap/>
            <w:vAlign w:val="center"/>
          </w:tcPr>
          <w:p w14:paraId="0475546B">
            <w:pPr>
              <w:widowControl/>
              <w:shd w:val="clear" w:color="auto" w:fill="FFFFFF"/>
              <w:jc w:val="center"/>
            </w:pPr>
            <w:r>
              <w:t>24 696,4</w:t>
            </w:r>
          </w:p>
        </w:tc>
        <w:tc>
          <w:tcPr>
            <w:tcW w:w="1620" w:type="dxa"/>
            <w:gridSpan w:val="2"/>
            <w:shd w:val="clear" w:color="auto" w:fill="auto"/>
            <w:noWrap/>
            <w:vAlign w:val="center"/>
          </w:tcPr>
          <w:p w14:paraId="24342ED1">
            <w:pPr>
              <w:widowControl/>
              <w:shd w:val="clear" w:color="auto" w:fill="FFFFFF"/>
              <w:jc w:val="center"/>
            </w:pPr>
            <w:r>
              <w:t>26 772,0</w:t>
            </w:r>
          </w:p>
        </w:tc>
      </w:tr>
      <w:tr w14:paraId="2059F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987" w:hRule="atLeast"/>
          <w:jc w:val="center"/>
        </w:trPr>
        <w:tc>
          <w:tcPr>
            <w:tcW w:w="2441" w:type="dxa"/>
            <w:shd w:val="clear" w:color="auto" w:fill="FFFFFF"/>
            <w:noWrap/>
          </w:tcPr>
          <w:p w14:paraId="4966FD56">
            <w:pPr>
              <w:widowControl/>
              <w:autoSpaceDE/>
              <w:autoSpaceDN/>
              <w:adjustRightInd/>
            </w:pPr>
            <w:r>
              <w:t>Единый налог на вмененный доход для отдельных видов деятельности</w:t>
            </w:r>
          </w:p>
        </w:tc>
        <w:tc>
          <w:tcPr>
            <w:tcW w:w="1275" w:type="dxa"/>
            <w:shd w:val="clear" w:color="auto" w:fill="auto"/>
            <w:noWrap/>
            <w:vAlign w:val="center"/>
          </w:tcPr>
          <w:p w14:paraId="0F11B5E5">
            <w:pPr>
              <w:widowControl/>
              <w:shd w:val="clear" w:color="auto" w:fill="FFFFFF"/>
              <w:jc w:val="center"/>
            </w:pPr>
            <w:r>
              <w:t>142,9</w:t>
            </w:r>
          </w:p>
        </w:tc>
        <w:tc>
          <w:tcPr>
            <w:tcW w:w="1275" w:type="dxa"/>
            <w:shd w:val="clear" w:color="auto" w:fill="auto"/>
            <w:noWrap/>
            <w:vAlign w:val="center"/>
          </w:tcPr>
          <w:p w14:paraId="357BD57A">
            <w:pPr>
              <w:widowControl/>
              <w:shd w:val="clear" w:color="auto" w:fill="FFFFFF"/>
              <w:jc w:val="center"/>
            </w:pPr>
            <w:r>
              <w:t>-192,2</w:t>
            </w:r>
          </w:p>
        </w:tc>
        <w:tc>
          <w:tcPr>
            <w:tcW w:w="1416" w:type="dxa"/>
            <w:shd w:val="clear" w:color="auto" w:fill="auto"/>
            <w:noWrap/>
            <w:vAlign w:val="center"/>
          </w:tcPr>
          <w:p w14:paraId="6AB98781">
            <w:pPr>
              <w:widowControl/>
              <w:shd w:val="clear" w:color="auto" w:fill="FFFFFF"/>
              <w:jc w:val="center"/>
            </w:pPr>
            <w:r>
              <w:t>27,6</w:t>
            </w:r>
          </w:p>
        </w:tc>
        <w:tc>
          <w:tcPr>
            <w:tcW w:w="1400" w:type="dxa"/>
            <w:shd w:val="clear" w:color="auto" w:fill="auto"/>
            <w:noWrap/>
            <w:vAlign w:val="center"/>
          </w:tcPr>
          <w:p w14:paraId="6A904610">
            <w:pPr>
              <w:widowControl/>
              <w:shd w:val="clear" w:color="auto" w:fill="FFFFFF"/>
              <w:jc w:val="center"/>
            </w:pPr>
            <w:r>
              <w:t>0</w:t>
            </w:r>
          </w:p>
        </w:tc>
        <w:tc>
          <w:tcPr>
            <w:tcW w:w="1620" w:type="dxa"/>
            <w:gridSpan w:val="2"/>
            <w:shd w:val="clear" w:color="auto" w:fill="auto"/>
            <w:noWrap/>
            <w:vAlign w:val="center"/>
          </w:tcPr>
          <w:p w14:paraId="3BDCCAB9">
            <w:pPr>
              <w:widowControl/>
              <w:shd w:val="clear" w:color="auto" w:fill="FFFFFF"/>
              <w:jc w:val="center"/>
            </w:pPr>
            <w:r>
              <w:t>12,8</w:t>
            </w:r>
          </w:p>
        </w:tc>
      </w:tr>
      <w:tr w14:paraId="4B344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jc w:val="center"/>
        </w:trPr>
        <w:tc>
          <w:tcPr>
            <w:tcW w:w="2441" w:type="dxa"/>
            <w:shd w:val="clear" w:color="auto" w:fill="FFFFFF"/>
            <w:noWrap/>
          </w:tcPr>
          <w:p w14:paraId="379EAD93">
            <w:pPr>
              <w:widowControl/>
              <w:autoSpaceDE/>
              <w:autoSpaceDN/>
              <w:adjustRightInd/>
            </w:pPr>
            <w:r>
              <w:t>Налог, взимаемый в связи с применением УСН</w:t>
            </w:r>
          </w:p>
        </w:tc>
        <w:tc>
          <w:tcPr>
            <w:tcW w:w="1275" w:type="dxa"/>
            <w:shd w:val="clear" w:color="auto" w:fill="auto"/>
            <w:noWrap/>
            <w:vAlign w:val="center"/>
          </w:tcPr>
          <w:p w14:paraId="5D75A689">
            <w:pPr>
              <w:widowControl/>
              <w:shd w:val="clear" w:color="auto" w:fill="FFFFFF"/>
              <w:jc w:val="center"/>
            </w:pPr>
            <w:r>
              <w:t>1 669,1</w:t>
            </w:r>
          </w:p>
        </w:tc>
        <w:tc>
          <w:tcPr>
            <w:tcW w:w="1275" w:type="dxa"/>
            <w:shd w:val="clear" w:color="auto" w:fill="auto"/>
            <w:noWrap/>
            <w:vAlign w:val="center"/>
          </w:tcPr>
          <w:p w14:paraId="0582B036">
            <w:pPr>
              <w:widowControl/>
              <w:shd w:val="clear" w:color="auto" w:fill="FFFFFF"/>
              <w:jc w:val="center"/>
            </w:pPr>
            <w:r>
              <w:t>1 653,3</w:t>
            </w:r>
          </w:p>
        </w:tc>
        <w:tc>
          <w:tcPr>
            <w:tcW w:w="1416" w:type="dxa"/>
            <w:shd w:val="clear" w:color="auto" w:fill="auto"/>
            <w:noWrap/>
            <w:vAlign w:val="center"/>
          </w:tcPr>
          <w:p w14:paraId="01AEC450">
            <w:pPr>
              <w:widowControl/>
              <w:shd w:val="clear" w:color="auto" w:fill="FFFFFF"/>
              <w:jc w:val="center"/>
            </w:pPr>
            <w:r>
              <w:t>2 996,0</w:t>
            </w:r>
          </w:p>
        </w:tc>
        <w:tc>
          <w:tcPr>
            <w:tcW w:w="1400" w:type="dxa"/>
            <w:shd w:val="clear" w:color="auto" w:fill="auto"/>
            <w:noWrap/>
            <w:vAlign w:val="center"/>
          </w:tcPr>
          <w:p w14:paraId="28ADE97C">
            <w:pPr>
              <w:widowControl/>
              <w:shd w:val="clear" w:color="auto" w:fill="FFFFFF"/>
              <w:jc w:val="center"/>
            </w:pPr>
            <w:r>
              <w:t>3 768,8</w:t>
            </w:r>
          </w:p>
        </w:tc>
        <w:tc>
          <w:tcPr>
            <w:tcW w:w="1620" w:type="dxa"/>
            <w:gridSpan w:val="2"/>
            <w:shd w:val="clear" w:color="auto" w:fill="auto"/>
            <w:noWrap/>
            <w:vAlign w:val="center"/>
          </w:tcPr>
          <w:p w14:paraId="32E30B46">
            <w:pPr>
              <w:widowControl/>
              <w:autoSpaceDE/>
              <w:autoSpaceDN/>
              <w:adjustRightInd/>
              <w:jc w:val="center"/>
            </w:pPr>
            <w:r>
              <w:t>3 768,8</w:t>
            </w:r>
          </w:p>
        </w:tc>
      </w:tr>
      <w:tr w14:paraId="009DF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jc w:val="center"/>
        </w:trPr>
        <w:tc>
          <w:tcPr>
            <w:tcW w:w="2441" w:type="dxa"/>
            <w:shd w:val="clear" w:color="auto" w:fill="FFFFFF"/>
            <w:noWrap/>
          </w:tcPr>
          <w:p w14:paraId="2EFBA7FA">
            <w:pPr>
              <w:widowControl/>
              <w:autoSpaceDE/>
              <w:autoSpaceDN/>
              <w:adjustRightInd/>
            </w:pPr>
            <w:r>
              <w:t>Единый сельскохозяйственный налог</w:t>
            </w:r>
          </w:p>
        </w:tc>
        <w:tc>
          <w:tcPr>
            <w:tcW w:w="1275" w:type="dxa"/>
            <w:shd w:val="clear" w:color="auto" w:fill="auto"/>
            <w:noWrap/>
            <w:vAlign w:val="center"/>
          </w:tcPr>
          <w:p w14:paraId="0767EC27">
            <w:pPr>
              <w:widowControl/>
              <w:shd w:val="clear" w:color="auto" w:fill="FFFFFF"/>
              <w:jc w:val="center"/>
            </w:pPr>
            <w:r>
              <w:t>102,1</w:t>
            </w:r>
          </w:p>
        </w:tc>
        <w:tc>
          <w:tcPr>
            <w:tcW w:w="1275" w:type="dxa"/>
            <w:shd w:val="clear" w:color="auto" w:fill="auto"/>
            <w:noWrap/>
            <w:vAlign w:val="center"/>
          </w:tcPr>
          <w:p w14:paraId="38DB4ED6">
            <w:pPr>
              <w:widowControl/>
              <w:shd w:val="clear" w:color="auto" w:fill="FFFFFF"/>
              <w:jc w:val="center"/>
            </w:pPr>
            <w:r>
              <w:t>190,9</w:t>
            </w:r>
          </w:p>
        </w:tc>
        <w:tc>
          <w:tcPr>
            <w:tcW w:w="1416" w:type="dxa"/>
            <w:shd w:val="clear" w:color="auto" w:fill="auto"/>
            <w:noWrap/>
            <w:vAlign w:val="center"/>
          </w:tcPr>
          <w:p w14:paraId="506C4A33">
            <w:pPr>
              <w:widowControl/>
              <w:shd w:val="clear" w:color="auto" w:fill="FFFFFF"/>
              <w:jc w:val="center"/>
            </w:pPr>
            <w:r>
              <w:t>67,8</w:t>
            </w:r>
          </w:p>
        </w:tc>
        <w:tc>
          <w:tcPr>
            <w:tcW w:w="1400" w:type="dxa"/>
            <w:shd w:val="clear" w:color="auto" w:fill="auto"/>
            <w:noWrap/>
            <w:vAlign w:val="center"/>
          </w:tcPr>
          <w:p w14:paraId="656753ED">
            <w:pPr>
              <w:widowControl/>
              <w:shd w:val="clear" w:color="auto" w:fill="FFFFFF"/>
              <w:jc w:val="center"/>
            </w:pPr>
            <w:r>
              <w:t>70,0</w:t>
            </w:r>
          </w:p>
        </w:tc>
        <w:tc>
          <w:tcPr>
            <w:tcW w:w="1620" w:type="dxa"/>
            <w:gridSpan w:val="2"/>
            <w:shd w:val="clear" w:color="auto" w:fill="auto"/>
            <w:noWrap/>
            <w:vAlign w:val="center"/>
          </w:tcPr>
          <w:p w14:paraId="480B9D4A">
            <w:pPr>
              <w:widowControl/>
              <w:shd w:val="clear" w:color="auto" w:fill="FFFFFF"/>
              <w:jc w:val="center"/>
            </w:pPr>
            <w:r>
              <w:t>70,0</w:t>
            </w:r>
          </w:p>
        </w:tc>
      </w:tr>
      <w:tr w14:paraId="20F45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jc w:val="center"/>
        </w:trPr>
        <w:tc>
          <w:tcPr>
            <w:tcW w:w="2441" w:type="dxa"/>
            <w:shd w:val="clear" w:color="auto" w:fill="FFFFFF"/>
            <w:noWrap/>
          </w:tcPr>
          <w:p w14:paraId="46798BC7">
            <w:pPr>
              <w:widowControl/>
              <w:autoSpaceDE/>
              <w:autoSpaceDN/>
              <w:adjustRightInd/>
            </w:pPr>
            <w:r>
              <w:t>Налог, взимаемый в связи с применением патентной системы налогообложения</w:t>
            </w:r>
          </w:p>
        </w:tc>
        <w:tc>
          <w:tcPr>
            <w:tcW w:w="1275" w:type="dxa"/>
            <w:shd w:val="clear" w:color="auto" w:fill="auto"/>
            <w:noWrap/>
            <w:vAlign w:val="center"/>
          </w:tcPr>
          <w:p w14:paraId="3FF42630">
            <w:pPr>
              <w:widowControl/>
              <w:shd w:val="clear" w:color="auto" w:fill="FFFFFF"/>
              <w:jc w:val="center"/>
            </w:pPr>
            <w:r>
              <w:t>1 409,1</w:t>
            </w:r>
          </w:p>
        </w:tc>
        <w:tc>
          <w:tcPr>
            <w:tcW w:w="1275" w:type="dxa"/>
            <w:shd w:val="clear" w:color="auto" w:fill="auto"/>
            <w:noWrap/>
            <w:vAlign w:val="center"/>
          </w:tcPr>
          <w:p w14:paraId="1469DD07">
            <w:pPr>
              <w:widowControl/>
              <w:shd w:val="clear" w:color="auto" w:fill="FFFFFF"/>
              <w:jc w:val="center"/>
              <w:rPr>
                <w:sz w:val="24"/>
                <w:szCs w:val="24"/>
              </w:rPr>
            </w:pPr>
            <w:r>
              <w:rPr>
                <w:sz w:val="24"/>
                <w:szCs w:val="24"/>
              </w:rPr>
              <w:fldChar w:fldCharType="begin"/>
            </w:r>
            <w:r>
              <w:rPr>
                <w:sz w:val="24"/>
                <w:szCs w:val="24"/>
              </w:rPr>
              <w:instrText xml:space="preserve"> LINK Excel.Sheet.12 "C:\\bacup\\Мои документы 1\\Documents\\ПРОВЕРКИ 2020-2024\\Проверки 2024 год\\ПРОЕКТ 2025\\ ЗАКЛЮЧЕНИЕ НА ПРОЕКТ МР НА 2025 ГОД\\Прил.1 Динамика доходов бюджета. .xlsx""Лист2!R23C2" \a \f 4 \h  \* MERGEFORMAT</w:instrText>
            </w:r>
            <w:r>
              <w:rPr>
                <w:sz w:val="24"/>
                <w:szCs w:val="24"/>
              </w:rPr>
              <w:fldChar w:fldCharType="separate"/>
            </w:r>
            <w:r>
              <w:rPr>
                <w:rFonts w:eastAsia="SimSun"/>
                <w:color w:val="000000"/>
              </w:rPr>
              <w:t>795,8</w:t>
            </w:r>
            <w:r>
              <w:rPr>
                <w:sz w:val="24"/>
                <w:szCs w:val="24"/>
              </w:rPr>
              <w:fldChar w:fldCharType="end"/>
            </w:r>
          </w:p>
        </w:tc>
        <w:tc>
          <w:tcPr>
            <w:tcW w:w="1416" w:type="dxa"/>
            <w:shd w:val="clear" w:color="auto" w:fill="auto"/>
            <w:noWrap/>
            <w:vAlign w:val="center"/>
          </w:tcPr>
          <w:p w14:paraId="3C510400">
            <w:pPr>
              <w:widowControl/>
              <w:shd w:val="clear" w:color="auto" w:fill="FFFFFF"/>
              <w:jc w:val="center"/>
            </w:pPr>
            <w:r>
              <w:t>1 613,2</w:t>
            </w:r>
          </w:p>
        </w:tc>
        <w:tc>
          <w:tcPr>
            <w:tcW w:w="1400" w:type="dxa"/>
            <w:shd w:val="clear" w:color="auto" w:fill="auto"/>
            <w:noWrap/>
            <w:vAlign w:val="center"/>
          </w:tcPr>
          <w:p w14:paraId="0B133F28">
            <w:pPr>
              <w:widowControl/>
              <w:shd w:val="clear" w:color="auto" w:fill="FFFFFF"/>
              <w:jc w:val="center"/>
            </w:pPr>
            <w:r>
              <w:t>1 960,0</w:t>
            </w:r>
          </w:p>
        </w:tc>
        <w:tc>
          <w:tcPr>
            <w:tcW w:w="1620" w:type="dxa"/>
            <w:gridSpan w:val="2"/>
            <w:shd w:val="clear" w:color="auto" w:fill="auto"/>
            <w:noWrap/>
            <w:vAlign w:val="center"/>
          </w:tcPr>
          <w:p w14:paraId="7C6A9C1F">
            <w:pPr>
              <w:widowControl/>
              <w:shd w:val="clear" w:color="auto" w:fill="FFFFFF"/>
              <w:jc w:val="center"/>
            </w:pPr>
            <w:r>
              <w:t>2 242,8</w:t>
            </w:r>
          </w:p>
        </w:tc>
      </w:tr>
      <w:tr w14:paraId="2C0F1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1" w:type="dxa"/>
            <w:shd w:val="clear" w:color="auto" w:fill="FFFFFF"/>
            <w:noWrap/>
          </w:tcPr>
          <w:p w14:paraId="58255122">
            <w:pPr>
              <w:widowControl/>
              <w:autoSpaceDE/>
              <w:autoSpaceDN/>
              <w:adjustRightInd/>
            </w:pPr>
            <w:r>
              <w:t>Налог на добычу полезных ископаемых</w:t>
            </w:r>
          </w:p>
        </w:tc>
        <w:tc>
          <w:tcPr>
            <w:tcW w:w="1275" w:type="dxa"/>
            <w:shd w:val="clear" w:color="auto" w:fill="auto"/>
            <w:noWrap/>
            <w:vAlign w:val="center"/>
          </w:tcPr>
          <w:p w14:paraId="2AA657C6">
            <w:pPr>
              <w:widowControl/>
              <w:shd w:val="clear" w:color="auto" w:fill="FFFFFF"/>
              <w:jc w:val="center"/>
            </w:pPr>
            <w:r>
              <w:t>-0,2</w:t>
            </w:r>
          </w:p>
        </w:tc>
        <w:tc>
          <w:tcPr>
            <w:tcW w:w="1275" w:type="dxa"/>
            <w:shd w:val="clear" w:color="auto" w:fill="auto"/>
            <w:noWrap/>
            <w:vAlign w:val="center"/>
          </w:tcPr>
          <w:p w14:paraId="4A821947">
            <w:pPr>
              <w:widowControl/>
              <w:shd w:val="clear" w:color="auto" w:fill="FFFFFF"/>
              <w:jc w:val="center"/>
            </w:pPr>
            <w:r>
              <w:fldChar w:fldCharType="begin"/>
            </w:r>
            <w:r>
              <w:instrText xml:space="preserve"> LINK Excel.Sheet.12 "C:\\bacup\\Мои документы 1\\Documents\\ПРОВЕРКИ 2020-2024\\Проверки 2024 год\\ПРОЕКТ 2025\\ ЗАКЛЮЧЕНИЕ НА ПРОЕКТ МР НА 2025 ГОД\\Прил.1 Динамика доходов бюджета. .xlsx""Лист2!R28C2" \a \f 5 \h  \* MERGEFORMAT </w:instrText>
            </w:r>
            <w:r>
              <w:fldChar w:fldCharType="separate"/>
            </w:r>
            <w:r>
              <w:rPr>
                <w:rFonts w:ascii="Calibri" w:hAnsi="Calibri" w:eastAsia="Calibri"/>
              </w:rPr>
              <w:t>-</w:t>
            </w:r>
            <w:r>
              <w:t xml:space="preserve"> 0,1</w:t>
            </w:r>
            <w:r>
              <w:fldChar w:fldCharType="end"/>
            </w:r>
          </w:p>
        </w:tc>
        <w:tc>
          <w:tcPr>
            <w:tcW w:w="1416" w:type="dxa"/>
            <w:shd w:val="clear" w:color="auto" w:fill="auto"/>
            <w:noWrap/>
            <w:vAlign w:val="center"/>
          </w:tcPr>
          <w:p w14:paraId="7C10842B">
            <w:pPr>
              <w:widowControl/>
              <w:shd w:val="clear" w:color="auto" w:fill="FFFFFF"/>
              <w:jc w:val="center"/>
            </w:pPr>
            <w:r>
              <w:t>0</w:t>
            </w:r>
          </w:p>
        </w:tc>
        <w:tc>
          <w:tcPr>
            <w:tcW w:w="1400" w:type="dxa"/>
            <w:shd w:val="clear" w:color="auto" w:fill="auto"/>
            <w:noWrap/>
            <w:vAlign w:val="center"/>
          </w:tcPr>
          <w:p w14:paraId="20AB5B7C">
            <w:pPr>
              <w:widowControl/>
              <w:shd w:val="clear" w:color="auto" w:fill="FFFFFF"/>
              <w:jc w:val="center"/>
            </w:pPr>
            <w:r>
              <w:t>939,0</w:t>
            </w:r>
          </w:p>
        </w:tc>
        <w:tc>
          <w:tcPr>
            <w:tcW w:w="1620" w:type="dxa"/>
            <w:gridSpan w:val="2"/>
            <w:shd w:val="clear" w:color="auto" w:fill="auto"/>
            <w:noWrap/>
            <w:vAlign w:val="center"/>
          </w:tcPr>
          <w:p w14:paraId="68E1733E">
            <w:pPr>
              <w:widowControl/>
              <w:shd w:val="clear" w:color="auto" w:fill="FFFFFF"/>
              <w:jc w:val="center"/>
            </w:pPr>
            <w:r>
              <w:t>1 034,2</w:t>
            </w:r>
          </w:p>
        </w:tc>
      </w:tr>
      <w:tr w14:paraId="63760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1" w:type="dxa"/>
            <w:shd w:val="clear" w:color="auto" w:fill="FFFFFF"/>
            <w:noWrap/>
          </w:tcPr>
          <w:p w14:paraId="591F3EA1">
            <w:pPr>
              <w:widowControl/>
              <w:autoSpaceDE/>
              <w:autoSpaceDN/>
              <w:adjustRightInd/>
            </w:pPr>
            <w:r>
              <w:t>ГОСУДАРСТВЕННАЯ ПОШЛИНА</w:t>
            </w:r>
          </w:p>
        </w:tc>
        <w:tc>
          <w:tcPr>
            <w:tcW w:w="1275" w:type="dxa"/>
            <w:shd w:val="clear" w:color="auto" w:fill="auto"/>
            <w:noWrap/>
            <w:vAlign w:val="center"/>
          </w:tcPr>
          <w:p w14:paraId="1EB28C3E">
            <w:pPr>
              <w:widowControl/>
              <w:shd w:val="clear" w:color="auto" w:fill="FFFFFF"/>
              <w:jc w:val="center"/>
            </w:pPr>
            <w:r>
              <w:t>2 133,3</w:t>
            </w:r>
          </w:p>
        </w:tc>
        <w:tc>
          <w:tcPr>
            <w:tcW w:w="1275" w:type="dxa"/>
            <w:shd w:val="clear" w:color="auto" w:fill="auto"/>
            <w:noWrap/>
            <w:vAlign w:val="center"/>
          </w:tcPr>
          <w:p w14:paraId="42BAF3A0">
            <w:pPr>
              <w:widowControl/>
              <w:shd w:val="clear" w:color="auto" w:fill="FFFFFF"/>
              <w:jc w:val="center"/>
            </w:pPr>
            <w:r>
              <w:fldChar w:fldCharType="begin"/>
            </w:r>
            <w:r>
              <w:instrText xml:space="preserve"> LINK Excel.Sheet.12 "C:\\bacup\\Мои документы 1\\Documents\\ПРОВЕРКИ 2020-2024\\Проверки 2024 год\\ПРОЕКТ 2025\\ ЗАКЛЮЧЕНИЕ НА ПРОЕКТ МР НА 2025 ГОД\\Прил.1 Динамика доходов бюджета. .xlsx""Лист2!R30C2" \a \f 4 \h  \* MERGEFORMAT </w:instrText>
            </w:r>
            <w:r>
              <w:fldChar w:fldCharType="separate"/>
            </w:r>
            <w:r>
              <w:rPr>
                <w:rFonts w:ascii="Calibri" w:hAnsi="Calibri" w:eastAsia="Calibri"/>
              </w:rPr>
              <w:t>1</w:t>
            </w:r>
            <w:r>
              <w:rPr>
                <w:bCs/>
                <w:i/>
                <w:iCs/>
              </w:rPr>
              <w:t xml:space="preserve"> 950,6</w:t>
            </w:r>
            <w:r>
              <w:fldChar w:fldCharType="end"/>
            </w:r>
          </w:p>
        </w:tc>
        <w:tc>
          <w:tcPr>
            <w:tcW w:w="1416" w:type="dxa"/>
            <w:shd w:val="clear" w:color="auto" w:fill="auto"/>
            <w:noWrap/>
            <w:vAlign w:val="center"/>
          </w:tcPr>
          <w:p w14:paraId="19211772">
            <w:pPr>
              <w:widowControl/>
              <w:shd w:val="clear" w:color="auto" w:fill="FFFFFF"/>
              <w:jc w:val="center"/>
            </w:pPr>
            <w:r>
              <w:t>4 610,4</w:t>
            </w:r>
          </w:p>
        </w:tc>
        <w:tc>
          <w:tcPr>
            <w:tcW w:w="1400" w:type="dxa"/>
            <w:shd w:val="clear" w:color="auto" w:fill="auto"/>
            <w:noWrap/>
            <w:vAlign w:val="center"/>
          </w:tcPr>
          <w:p w14:paraId="258D2D7C">
            <w:pPr>
              <w:widowControl/>
              <w:shd w:val="clear" w:color="auto" w:fill="FFFFFF"/>
              <w:jc w:val="center"/>
            </w:pPr>
            <w:r>
              <w:t>5 226,7</w:t>
            </w:r>
          </w:p>
        </w:tc>
        <w:tc>
          <w:tcPr>
            <w:tcW w:w="1620" w:type="dxa"/>
            <w:gridSpan w:val="2"/>
            <w:shd w:val="clear" w:color="auto" w:fill="auto"/>
            <w:noWrap/>
            <w:vAlign w:val="center"/>
          </w:tcPr>
          <w:p w14:paraId="3416A2F3">
            <w:pPr>
              <w:widowControl/>
              <w:shd w:val="clear" w:color="auto" w:fill="FFFFFF"/>
              <w:jc w:val="center"/>
            </w:pPr>
            <w:r>
              <w:t>6 692,0</w:t>
            </w:r>
          </w:p>
        </w:tc>
      </w:tr>
      <w:tr w14:paraId="790A7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1" w:type="dxa"/>
            <w:shd w:val="clear" w:color="auto" w:fill="FFFFFF"/>
            <w:noWrap/>
          </w:tcPr>
          <w:p w14:paraId="410D2902">
            <w:pPr>
              <w:widowControl/>
              <w:autoSpaceDE/>
              <w:autoSpaceDN/>
              <w:adjustRightInd/>
            </w:pPr>
            <w:r>
              <w:t>Доходы, получаемые в виде арендной платы, а также средства от продажи права на заключение договоров аренды за земли</w:t>
            </w:r>
          </w:p>
        </w:tc>
        <w:tc>
          <w:tcPr>
            <w:tcW w:w="1275" w:type="dxa"/>
            <w:shd w:val="clear" w:color="auto" w:fill="auto"/>
            <w:noWrap/>
            <w:vAlign w:val="center"/>
          </w:tcPr>
          <w:p w14:paraId="30EB0712">
            <w:pPr>
              <w:widowControl/>
              <w:shd w:val="clear" w:color="auto" w:fill="FFFFFF"/>
              <w:jc w:val="center"/>
            </w:pPr>
            <w:r>
              <w:t>438,3</w:t>
            </w:r>
          </w:p>
        </w:tc>
        <w:tc>
          <w:tcPr>
            <w:tcW w:w="1275" w:type="dxa"/>
            <w:shd w:val="clear" w:color="auto" w:fill="auto"/>
            <w:noWrap/>
            <w:vAlign w:val="center"/>
          </w:tcPr>
          <w:p w14:paraId="437B131B">
            <w:pPr>
              <w:widowControl/>
              <w:shd w:val="clear" w:color="auto" w:fill="FFFFFF"/>
              <w:jc w:val="center"/>
              <w:rPr>
                <w:rFonts w:hint="default"/>
                <w:lang w:val="ru-RU"/>
              </w:rPr>
            </w:pPr>
            <w:r>
              <w:rPr>
                <w:rFonts w:hint="default"/>
                <w:lang w:val="ru-RU"/>
              </w:rPr>
              <w:t>595,4</w:t>
            </w:r>
          </w:p>
        </w:tc>
        <w:tc>
          <w:tcPr>
            <w:tcW w:w="1416" w:type="dxa"/>
            <w:shd w:val="clear" w:color="auto" w:fill="auto"/>
            <w:noWrap/>
            <w:vAlign w:val="center"/>
          </w:tcPr>
          <w:p w14:paraId="6398DD48">
            <w:pPr>
              <w:widowControl/>
              <w:shd w:val="clear" w:color="auto" w:fill="FFFFFF"/>
              <w:jc w:val="center"/>
            </w:pPr>
            <w:r>
              <w:t>861,5</w:t>
            </w:r>
          </w:p>
        </w:tc>
        <w:tc>
          <w:tcPr>
            <w:tcW w:w="1400" w:type="dxa"/>
            <w:shd w:val="clear" w:color="auto" w:fill="auto"/>
            <w:noWrap/>
            <w:vAlign w:val="center"/>
          </w:tcPr>
          <w:p w14:paraId="7A6DF143">
            <w:pPr>
              <w:widowControl/>
              <w:shd w:val="clear" w:color="auto" w:fill="FFFFFF"/>
              <w:jc w:val="center"/>
            </w:pPr>
            <w:r>
              <w:t>729,3</w:t>
            </w:r>
          </w:p>
        </w:tc>
        <w:tc>
          <w:tcPr>
            <w:tcW w:w="1620" w:type="dxa"/>
            <w:gridSpan w:val="2"/>
            <w:shd w:val="clear" w:color="auto" w:fill="auto"/>
            <w:noWrap/>
            <w:vAlign w:val="center"/>
          </w:tcPr>
          <w:p w14:paraId="66CD9CEF">
            <w:pPr>
              <w:widowControl/>
              <w:shd w:val="clear" w:color="auto" w:fill="FFFFFF"/>
              <w:jc w:val="center"/>
            </w:pPr>
            <w:r>
              <w:t>729,3</w:t>
            </w:r>
          </w:p>
        </w:tc>
      </w:tr>
      <w:tr w14:paraId="47842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jc w:val="center"/>
        </w:trPr>
        <w:tc>
          <w:tcPr>
            <w:tcW w:w="2441" w:type="dxa"/>
            <w:shd w:val="clear" w:color="auto" w:fill="FFFFFF"/>
            <w:noWrap/>
          </w:tcPr>
          <w:p w14:paraId="21A7D003">
            <w:pPr>
              <w:widowControl/>
              <w:autoSpaceDE/>
              <w:autoSpaceDN/>
              <w:adjustRightInd/>
            </w:pPr>
            <w:r>
              <w:t>Доходы от сдачи в аренду имущества, находящегося в оперативном управлении органов управления муниципальных районов и созданных ими учреждений</w:t>
            </w:r>
          </w:p>
        </w:tc>
        <w:tc>
          <w:tcPr>
            <w:tcW w:w="1275" w:type="dxa"/>
            <w:shd w:val="clear" w:color="auto" w:fill="auto"/>
            <w:noWrap/>
            <w:vAlign w:val="center"/>
          </w:tcPr>
          <w:p w14:paraId="3DE3C1F5">
            <w:pPr>
              <w:widowControl/>
              <w:shd w:val="clear" w:color="auto" w:fill="FFFFFF"/>
              <w:jc w:val="center"/>
            </w:pPr>
            <w:r>
              <w:t>569,9</w:t>
            </w:r>
          </w:p>
        </w:tc>
        <w:tc>
          <w:tcPr>
            <w:tcW w:w="1275" w:type="dxa"/>
            <w:shd w:val="clear" w:color="auto" w:fill="auto"/>
            <w:noWrap/>
            <w:vAlign w:val="center"/>
          </w:tcPr>
          <w:p w14:paraId="659496B0">
            <w:pPr>
              <w:widowControl/>
              <w:shd w:val="clear" w:color="auto" w:fill="FFFFFF"/>
              <w:jc w:val="center"/>
            </w:pPr>
            <w:r>
              <w:fldChar w:fldCharType="begin"/>
            </w:r>
            <w:r>
              <w:instrText xml:space="preserve"> LINK Excel.Sheet.12 "C:\\bacup\\Мои документы 1\\Documents\\ПРОВЕРКИ 2020-2024\\Проверки 2024 год\\ПРОЕКТ 2025\\ ЗАКЛЮЧЕНИЕ НА ПРОЕКТ МР НА 2025 ГОД\\Прил.1 Динамика доходов бюджета. .xlsx""Лист2!R37C2" \a \f 4 \h  \* MERGEFORMAT</w:instrText>
            </w:r>
            <w:r>
              <w:fldChar w:fldCharType="separate"/>
            </w:r>
            <w:r>
              <w:rPr>
                <w:rFonts w:eastAsia="SimSun"/>
                <w:color w:val="000000"/>
              </w:rPr>
              <w:t xml:space="preserve"> 533,2</w:t>
            </w:r>
            <w:r>
              <w:fldChar w:fldCharType="end"/>
            </w:r>
          </w:p>
        </w:tc>
        <w:tc>
          <w:tcPr>
            <w:tcW w:w="1416" w:type="dxa"/>
            <w:shd w:val="clear" w:color="auto" w:fill="auto"/>
            <w:noWrap/>
            <w:vAlign w:val="center"/>
          </w:tcPr>
          <w:p w14:paraId="1065D11B">
            <w:pPr>
              <w:widowControl/>
              <w:shd w:val="clear" w:color="auto" w:fill="FFFFFF"/>
              <w:jc w:val="center"/>
              <w:rPr>
                <w:rFonts w:hint="default"/>
                <w:lang w:val="ru-RU"/>
              </w:rPr>
            </w:pPr>
            <w:r>
              <w:rPr>
                <w:rFonts w:hint="default"/>
                <w:lang w:val="ru-RU"/>
              </w:rPr>
              <w:t>744,8</w:t>
            </w:r>
          </w:p>
        </w:tc>
        <w:tc>
          <w:tcPr>
            <w:tcW w:w="1400" w:type="dxa"/>
            <w:shd w:val="clear" w:color="auto" w:fill="auto"/>
            <w:noWrap/>
            <w:vAlign w:val="center"/>
          </w:tcPr>
          <w:p w14:paraId="2D13B341">
            <w:pPr>
              <w:widowControl/>
              <w:shd w:val="clear" w:color="auto" w:fill="FFFFFF"/>
              <w:jc w:val="center"/>
            </w:pPr>
            <w:r>
              <w:t>277,7</w:t>
            </w:r>
          </w:p>
        </w:tc>
        <w:tc>
          <w:tcPr>
            <w:tcW w:w="1620" w:type="dxa"/>
            <w:gridSpan w:val="2"/>
            <w:shd w:val="clear" w:color="auto" w:fill="auto"/>
            <w:noWrap/>
            <w:vAlign w:val="center"/>
          </w:tcPr>
          <w:p w14:paraId="67D09229">
            <w:pPr>
              <w:widowControl/>
              <w:shd w:val="clear" w:color="auto" w:fill="FFFFFF"/>
              <w:jc w:val="center"/>
            </w:pPr>
            <w:r>
              <w:t>633,3</w:t>
            </w:r>
          </w:p>
        </w:tc>
      </w:tr>
      <w:tr w14:paraId="2150C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jc w:val="center"/>
        </w:trPr>
        <w:tc>
          <w:tcPr>
            <w:tcW w:w="2441" w:type="dxa"/>
            <w:shd w:val="clear" w:color="auto" w:fill="FFFFFF"/>
            <w:noWrap/>
          </w:tcPr>
          <w:p w14:paraId="350CC3E2">
            <w:pPr>
              <w:widowControl/>
              <w:autoSpaceDE/>
              <w:autoSpaceDN/>
              <w:adjustRightInd/>
            </w:pPr>
            <w:r>
              <w:t>Плата за негативное воздействие на окружающую среду</w:t>
            </w:r>
          </w:p>
        </w:tc>
        <w:tc>
          <w:tcPr>
            <w:tcW w:w="1275" w:type="dxa"/>
            <w:shd w:val="clear" w:color="auto" w:fill="auto"/>
            <w:noWrap/>
            <w:vAlign w:val="center"/>
          </w:tcPr>
          <w:p w14:paraId="45C3929D">
            <w:pPr>
              <w:widowControl/>
              <w:shd w:val="clear" w:color="auto" w:fill="FFFFFF"/>
              <w:jc w:val="center"/>
            </w:pPr>
            <w:r>
              <w:t>678,3</w:t>
            </w:r>
          </w:p>
        </w:tc>
        <w:tc>
          <w:tcPr>
            <w:tcW w:w="1275" w:type="dxa"/>
            <w:shd w:val="clear" w:color="auto" w:fill="auto"/>
            <w:noWrap/>
            <w:vAlign w:val="center"/>
          </w:tcPr>
          <w:p w14:paraId="7ADC5EE2">
            <w:pPr>
              <w:widowControl/>
              <w:shd w:val="clear" w:color="auto" w:fill="FFFFFF"/>
              <w:jc w:val="center"/>
            </w:pPr>
            <w:r>
              <w:fldChar w:fldCharType="begin"/>
            </w:r>
            <w:r>
              <w:instrText xml:space="preserve"> LINK Excel.Sheet.12 "C:\\bacup\\Мои документы 1\\Documents\\ПРОВЕРКИ 2020-2024\\Проверки 2024 год\\ПРОЕКТ 2025\\ ЗАКЛЮЧЕНИЕ НА ПРОЕКТ МР НА 2025 ГОД\\Прил.1 Динамика доходов бюджета. .xlsx""Лист2!R40C2" \a \f 4 \h  \* MERGEFORMAT</w:instrText>
            </w:r>
            <w:r>
              <w:fldChar w:fldCharType="separate"/>
            </w:r>
            <w:r>
              <w:rPr>
                <w:rFonts w:eastAsia="SimSun"/>
                <w:color w:val="000000"/>
              </w:rPr>
              <w:t xml:space="preserve"> 654,1</w:t>
            </w:r>
            <w:r>
              <w:fldChar w:fldCharType="end"/>
            </w:r>
          </w:p>
        </w:tc>
        <w:tc>
          <w:tcPr>
            <w:tcW w:w="1416" w:type="dxa"/>
            <w:shd w:val="clear" w:color="auto" w:fill="auto"/>
            <w:noWrap/>
            <w:vAlign w:val="center"/>
          </w:tcPr>
          <w:p w14:paraId="7330F9BC">
            <w:pPr>
              <w:widowControl/>
              <w:shd w:val="clear" w:color="auto" w:fill="FFFFFF"/>
              <w:jc w:val="center"/>
            </w:pPr>
            <w:r>
              <w:t>315,4</w:t>
            </w:r>
          </w:p>
        </w:tc>
        <w:tc>
          <w:tcPr>
            <w:tcW w:w="1400" w:type="dxa"/>
            <w:shd w:val="clear" w:color="auto" w:fill="auto"/>
            <w:noWrap/>
            <w:vAlign w:val="center"/>
          </w:tcPr>
          <w:p w14:paraId="38E9A865">
            <w:pPr>
              <w:widowControl/>
              <w:shd w:val="clear" w:color="auto" w:fill="FFFFFF"/>
              <w:jc w:val="center"/>
            </w:pPr>
            <w:r>
              <w:t>85,7</w:t>
            </w:r>
          </w:p>
        </w:tc>
        <w:tc>
          <w:tcPr>
            <w:tcW w:w="1620" w:type="dxa"/>
            <w:gridSpan w:val="2"/>
            <w:shd w:val="clear" w:color="auto" w:fill="auto"/>
            <w:noWrap/>
            <w:vAlign w:val="center"/>
          </w:tcPr>
          <w:p w14:paraId="76EDF159">
            <w:pPr>
              <w:widowControl/>
              <w:shd w:val="clear" w:color="auto" w:fill="FFFFFF"/>
              <w:jc w:val="center"/>
            </w:pPr>
            <w:r>
              <w:t>1 952,6</w:t>
            </w:r>
          </w:p>
        </w:tc>
      </w:tr>
      <w:tr w14:paraId="33D30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41" w:type="dxa"/>
            <w:shd w:val="clear" w:color="auto" w:fill="FFFFFF"/>
            <w:noWrap/>
          </w:tcPr>
          <w:p w14:paraId="331C9FCC">
            <w:pPr>
              <w:widowControl/>
              <w:autoSpaceDE/>
              <w:autoSpaceDN/>
              <w:adjustRightInd/>
            </w:pPr>
            <w:r>
              <w:t>Прочие доходы от оказания платных услуг (работ) получателями средств бюджетов муниципальных районов</w:t>
            </w:r>
          </w:p>
        </w:tc>
        <w:tc>
          <w:tcPr>
            <w:tcW w:w="1275" w:type="dxa"/>
            <w:shd w:val="clear" w:color="auto" w:fill="auto"/>
            <w:noWrap/>
            <w:vAlign w:val="center"/>
          </w:tcPr>
          <w:p w14:paraId="6C2B1E16">
            <w:pPr>
              <w:widowControl/>
              <w:shd w:val="clear" w:color="auto" w:fill="FFFFFF"/>
              <w:jc w:val="center"/>
            </w:pPr>
            <w:r>
              <w:t>994,6</w:t>
            </w:r>
          </w:p>
        </w:tc>
        <w:tc>
          <w:tcPr>
            <w:tcW w:w="1275" w:type="dxa"/>
            <w:shd w:val="clear" w:color="auto" w:fill="auto"/>
            <w:noWrap/>
            <w:vAlign w:val="center"/>
          </w:tcPr>
          <w:p w14:paraId="4D2E2F0C">
            <w:pPr>
              <w:widowControl/>
              <w:shd w:val="clear" w:color="auto" w:fill="FFFFFF"/>
              <w:jc w:val="center"/>
            </w:pPr>
            <w:r>
              <w:fldChar w:fldCharType="begin"/>
            </w:r>
            <w:r>
              <w:instrText xml:space="preserve"> LINK Excel.Sheet.12 "C:\\bacup\\Мои документы 1\\Documents\\ПРОВЕРКИ 2020-2024\\Проверки 2024 год\\ПРОЕКТ 2025\\ ЗАКЛЮЧЕНИЕ НА ПРОЕКТ МР НА 2025 ГОД\\Прил.1 Динамика доходов бюджета. .xlsx""Лист2!R45C2" \a \f 4 \h  \* MERGEFORMAT</w:instrText>
            </w:r>
            <w:r>
              <w:fldChar w:fldCharType="separate"/>
            </w:r>
            <w:r>
              <w:rPr>
                <w:rFonts w:eastAsia="SimSun"/>
                <w:color w:val="000000"/>
              </w:rPr>
              <w:t xml:space="preserve"> 351,5</w:t>
            </w:r>
            <w:r>
              <w:fldChar w:fldCharType="end"/>
            </w:r>
          </w:p>
        </w:tc>
        <w:tc>
          <w:tcPr>
            <w:tcW w:w="1416" w:type="dxa"/>
            <w:shd w:val="clear" w:color="auto" w:fill="auto"/>
            <w:noWrap/>
            <w:vAlign w:val="center"/>
          </w:tcPr>
          <w:p w14:paraId="7FCFBF57">
            <w:pPr>
              <w:widowControl/>
              <w:shd w:val="clear" w:color="auto" w:fill="FFFFFF"/>
              <w:jc w:val="center"/>
            </w:pPr>
            <w:r>
              <w:fldChar w:fldCharType="begin"/>
            </w:r>
            <w:bookmarkStart w:id="2" w:name="_1793689350"/>
            <w:bookmarkEnd w:id="2"/>
            <w:r>
              <w:instrText xml:space="preserve"> LINK Excel.Sheet.12 "C:\\bacup\\Мои документы 1\\Documents\\ПРОВЕРКИ 2020-2024\\Проверки 2024 год\\ПРОЕКТ 2025\\ ЗАКЛЮЧЕНИЕ НА ПРОЕКТ МР НА 2025 ГОД\\Прил.1 Динамика доходов бюджета. .xlsx""Лист2!R45C2" \a \f 4 \h  \* MERGEFORMAT</w:instrText>
            </w:r>
            <w:r>
              <w:fldChar w:fldCharType="separate"/>
            </w:r>
            <w:r>
              <w:rPr>
                <w:rFonts w:eastAsia="SimSun"/>
                <w:color w:val="000000"/>
              </w:rPr>
              <w:t>5</w:t>
            </w:r>
            <w:r>
              <w:fldChar w:fldCharType="end"/>
            </w:r>
            <w:r>
              <w:t>67,4</w:t>
            </w:r>
          </w:p>
        </w:tc>
        <w:tc>
          <w:tcPr>
            <w:tcW w:w="1400" w:type="dxa"/>
            <w:shd w:val="clear" w:color="auto" w:fill="auto"/>
            <w:noWrap/>
            <w:vAlign w:val="center"/>
          </w:tcPr>
          <w:p w14:paraId="5FEC6098">
            <w:pPr>
              <w:widowControl/>
              <w:shd w:val="clear" w:color="auto" w:fill="FFFFFF"/>
              <w:jc w:val="center"/>
            </w:pPr>
            <w:r>
              <w:t>0</w:t>
            </w:r>
          </w:p>
        </w:tc>
        <w:tc>
          <w:tcPr>
            <w:tcW w:w="1620" w:type="dxa"/>
            <w:gridSpan w:val="2"/>
            <w:shd w:val="clear" w:color="auto" w:fill="auto"/>
            <w:noWrap/>
            <w:vAlign w:val="center"/>
          </w:tcPr>
          <w:p w14:paraId="0A4287F4">
            <w:pPr>
              <w:widowControl/>
              <w:shd w:val="clear" w:color="auto" w:fill="FFFFFF"/>
              <w:jc w:val="center"/>
            </w:pPr>
            <w:r>
              <w:t>236,5</w:t>
            </w:r>
          </w:p>
          <w:p w14:paraId="35666239">
            <w:pPr>
              <w:widowControl/>
              <w:shd w:val="clear" w:color="auto" w:fill="FFFFFF"/>
              <w:jc w:val="center"/>
            </w:pPr>
          </w:p>
        </w:tc>
      </w:tr>
      <w:tr w14:paraId="3E1AB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jc w:val="center"/>
        </w:trPr>
        <w:tc>
          <w:tcPr>
            <w:tcW w:w="2441" w:type="dxa"/>
            <w:shd w:val="clear" w:color="auto" w:fill="FFFFFF"/>
            <w:noWrap/>
          </w:tcPr>
          <w:p w14:paraId="41174B8C">
            <w:pPr>
              <w:widowControl/>
              <w:autoSpaceDE/>
              <w:autoSpaceDN/>
              <w:adjustRightInd/>
            </w:pPr>
            <w:r>
              <w:t>Прочие доходы от компенсации затрат бюджетов муниципальных районов</w:t>
            </w:r>
          </w:p>
        </w:tc>
        <w:tc>
          <w:tcPr>
            <w:tcW w:w="1275" w:type="dxa"/>
            <w:shd w:val="clear" w:color="auto" w:fill="auto"/>
            <w:noWrap/>
            <w:vAlign w:val="center"/>
          </w:tcPr>
          <w:p w14:paraId="35BA1AE4">
            <w:pPr>
              <w:widowControl/>
              <w:shd w:val="clear" w:color="auto" w:fill="FFFFFF"/>
              <w:jc w:val="center"/>
            </w:pPr>
            <w:r>
              <w:t>0</w:t>
            </w:r>
          </w:p>
        </w:tc>
        <w:tc>
          <w:tcPr>
            <w:tcW w:w="1275" w:type="dxa"/>
            <w:shd w:val="clear" w:color="auto" w:fill="auto"/>
            <w:noWrap/>
            <w:vAlign w:val="center"/>
          </w:tcPr>
          <w:p w14:paraId="3FA67F49">
            <w:pPr>
              <w:widowControl/>
              <w:shd w:val="clear" w:color="auto" w:fill="FFFFFF"/>
              <w:jc w:val="center"/>
            </w:pPr>
            <w:r>
              <w:t>0</w:t>
            </w:r>
          </w:p>
        </w:tc>
        <w:tc>
          <w:tcPr>
            <w:tcW w:w="1416" w:type="dxa"/>
            <w:shd w:val="clear" w:color="auto" w:fill="auto"/>
            <w:noWrap/>
            <w:vAlign w:val="center"/>
          </w:tcPr>
          <w:p w14:paraId="716DE0EB">
            <w:pPr>
              <w:widowControl/>
              <w:shd w:val="clear" w:color="auto" w:fill="FFFFFF"/>
              <w:jc w:val="center"/>
            </w:pPr>
            <w:r>
              <w:t>0</w:t>
            </w:r>
          </w:p>
        </w:tc>
        <w:tc>
          <w:tcPr>
            <w:tcW w:w="1400" w:type="dxa"/>
            <w:shd w:val="clear" w:color="auto" w:fill="auto"/>
            <w:noWrap/>
            <w:vAlign w:val="center"/>
          </w:tcPr>
          <w:p w14:paraId="1F5A8990">
            <w:pPr>
              <w:widowControl/>
              <w:shd w:val="clear" w:color="auto" w:fill="FFFFFF"/>
              <w:jc w:val="center"/>
            </w:pPr>
            <w:r>
              <w:t>0</w:t>
            </w:r>
          </w:p>
        </w:tc>
        <w:tc>
          <w:tcPr>
            <w:tcW w:w="1620" w:type="dxa"/>
            <w:gridSpan w:val="2"/>
            <w:shd w:val="clear" w:color="auto" w:fill="auto"/>
            <w:noWrap/>
            <w:vAlign w:val="center"/>
          </w:tcPr>
          <w:p w14:paraId="6F5C2C41">
            <w:pPr>
              <w:widowControl/>
              <w:shd w:val="clear" w:color="auto" w:fill="FFFFFF"/>
              <w:jc w:val="center"/>
            </w:pPr>
            <w:r>
              <w:t>0</w:t>
            </w:r>
          </w:p>
        </w:tc>
      </w:tr>
      <w:tr w14:paraId="7885C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jc w:val="center"/>
        </w:trPr>
        <w:tc>
          <w:tcPr>
            <w:tcW w:w="2441" w:type="dxa"/>
            <w:shd w:val="clear" w:color="auto" w:fill="FFFFFF"/>
            <w:noWrap/>
          </w:tcPr>
          <w:p w14:paraId="22C773B5">
            <w:pPr>
              <w:widowControl/>
              <w:autoSpaceDE/>
              <w:autoSpaceDN/>
              <w:adjustRightInd/>
            </w:pPr>
            <w:r>
              <w:t>Доходы от реализации имущества, в части реализации основных средств</w:t>
            </w:r>
          </w:p>
        </w:tc>
        <w:tc>
          <w:tcPr>
            <w:tcW w:w="1275" w:type="dxa"/>
            <w:shd w:val="clear" w:color="auto" w:fill="auto"/>
            <w:noWrap/>
            <w:vAlign w:val="center"/>
          </w:tcPr>
          <w:p w14:paraId="58AEA073">
            <w:pPr>
              <w:widowControl/>
              <w:shd w:val="clear" w:color="auto" w:fill="FFFFFF"/>
              <w:jc w:val="center"/>
            </w:pPr>
            <w:r>
              <w:t>0</w:t>
            </w:r>
          </w:p>
        </w:tc>
        <w:tc>
          <w:tcPr>
            <w:tcW w:w="1275" w:type="dxa"/>
            <w:shd w:val="clear" w:color="auto" w:fill="auto"/>
            <w:noWrap/>
            <w:vAlign w:val="center"/>
          </w:tcPr>
          <w:p w14:paraId="3E4E305F">
            <w:pPr>
              <w:widowControl/>
              <w:shd w:val="clear" w:color="auto" w:fill="FFFFFF"/>
              <w:jc w:val="center"/>
            </w:pPr>
            <w:r>
              <w:t>0</w:t>
            </w:r>
          </w:p>
        </w:tc>
        <w:tc>
          <w:tcPr>
            <w:tcW w:w="1416" w:type="dxa"/>
            <w:shd w:val="clear" w:color="auto" w:fill="auto"/>
            <w:noWrap/>
            <w:vAlign w:val="center"/>
          </w:tcPr>
          <w:p w14:paraId="58A2891F">
            <w:pPr>
              <w:widowControl/>
              <w:shd w:val="clear" w:color="auto" w:fill="FFFFFF"/>
              <w:jc w:val="center"/>
            </w:pPr>
            <w:r>
              <w:t>0</w:t>
            </w:r>
          </w:p>
        </w:tc>
        <w:tc>
          <w:tcPr>
            <w:tcW w:w="1400" w:type="dxa"/>
            <w:shd w:val="clear" w:color="auto" w:fill="auto"/>
            <w:noWrap/>
            <w:vAlign w:val="center"/>
          </w:tcPr>
          <w:p w14:paraId="6E735794">
            <w:pPr>
              <w:widowControl/>
              <w:shd w:val="clear" w:color="auto" w:fill="FFFFFF"/>
              <w:jc w:val="center"/>
            </w:pPr>
            <w:r>
              <w:t>0</w:t>
            </w:r>
          </w:p>
        </w:tc>
        <w:tc>
          <w:tcPr>
            <w:tcW w:w="1620" w:type="dxa"/>
            <w:gridSpan w:val="2"/>
            <w:shd w:val="clear" w:color="auto" w:fill="auto"/>
            <w:noWrap/>
            <w:vAlign w:val="center"/>
          </w:tcPr>
          <w:p w14:paraId="59F3C97E">
            <w:pPr>
              <w:widowControl/>
              <w:shd w:val="clear" w:color="auto" w:fill="FFFFFF"/>
              <w:jc w:val="center"/>
              <w:rPr>
                <w:rFonts w:hint="default"/>
                <w:lang w:val="ru-RU"/>
              </w:rPr>
            </w:pPr>
            <w:r>
              <w:rPr>
                <w:rFonts w:hint="default"/>
                <w:lang w:val="ru-RU"/>
              </w:rPr>
              <w:t>444,4</w:t>
            </w:r>
          </w:p>
        </w:tc>
      </w:tr>
      <w:tr w14:paraId="34E28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jc w:val="center"/>
        </w:trPr>
        <w:tc>
          <w:tcPr>
            <w:tcW w:w="2441" w:type="dxa"/>
            <w:shd w:val="clear" w:color="auto" w:fill="FFFFFF"/>
            <w:noWrap/>
          </w:tcPr>
          <w:p w14:paraId="3E971492">
            <w:pPr>
              <w:widowControl/>
              <w:autoSpaceDE/>
              <w:autoSpaceDN/>
              <w:adjustRightInd/>
            </w:pPr>
            <w:r>
              <w:t>Доходы от продажи земельных участков</w:t>
            </w:r>
          </w:p>
        </w:tc>
        <w:tc>
          <w:tcPr>
            <w:tcW w:w="1275" w:type="dxa"/>
            <w:shd w:val="clear" w:color="auto" w:fill="auto"/>
            <w:noWrap/>
            <w:vAlign w:val="center"/>
          </w:tcPr>
          <w:p w14:paraId="44FCEDCB">
            <w:pPr>
              <w:widowControl/>
              <w:shd w:val="clear" w:color="auto" w:fill="FFFFFF"/>
              <w:jc w:val="center"/>
              <w:rPr>
                <w:highlight w:val="yellow"/>
              </w:rPr>
            </w:pPr>
          </w:p>
          <w:p w14:paraId="363B6CE6">
            <w:pPr>
              <w:widowControl/>
              <w:shd w:val="clear" w:color="auto" w:fill="FFFFFF"/>
              <w:jc w:val="center"/>
              <w:rPr>
                <w:rFonts w:hint="default"/>
                <w:lang w:val="ru-RU"/>
              </w:rPr>
            </w:pPr>
            <w:r>
              <w:t>1</w:t>
            </w:r>
            <w:r>
              <w:rPr>
                <w:rFonts w:hint="default"/>
                <w:lang w:val="ru-RU"/>
              </w:rPr>
              <w:t>56,4</w:t>
            </w:r>
          </w:p>
          <w:p w14:paraId="20CD7977">
            <w:pPr>
              <w:widowControl/>
              <w:shd w:val="clear" w:color="auto" w:fill="FFFFFF"/>
              <w:jc w:val="center"/>
            </w:pPr>
          </w:p>
        </w:tc>
        <w:tc>
          <w:tcPr>
            <w:tcW w:w="1275" w:type="dxa"/>
            <w:shd w:val="clear" w:color="auto" w:fill="auto"/>
            <w:noWrap/>
            <w:vAlign w:val="center"/>
          </w:tcPr>
          <w:p w14:paraId="05B98FC5">
            <w:pPr>
              <w:widowControl/>
              <w:shd w:val="clear" w:color="auto" w:fill="FFFFFF"/>
              <w:jc w:val="center"/>
            </w:pPr>
            <w:r>
              <w:fldChar w:fldCharType="begin"/>
            </w:r>
            <w:r>
              <w:instrText xml:space="preserve"> LINK Excel.Sheet.12 "C:\\bacup\\Мои документы 1\\Documents\\ПРОВЕРКИ 2020-2024\\Проверки 2024 год\\ПРОЕКТ 2025\\ ЗАКЛЮЧЕНИЕ НА ПРОЕКТ МР НА 2025 ГОД\\Прил.1 Динамика доходов бюджета. .xlsx""Лист2!R46C2" \a \f 4 \h  \* MERGEFORMAT </w:instrText>
            </w:r>
            <w:r>
              <w:fldChar w:fldCharType="separate"/>
            </w:r>
            <w:r>
              <w:rPr>
                <w:bCs/>
                <w:i/>
                <w:iCs/>
              </w:rPr>
              <w:t>212,8</w:t>
            </w:r>
            <w:r>
              <w:fldChar w:fldCharType="end"/>
            </w:r>
          </w:p>
        </w:tc>
        <w:tc>
          <w:tcPr>
            <w:tcW w:w="1416" w:type="dxa"/>
            <w:shd w:val="clear" w:color="auto" w:fill="auto"/>
            <w:noWrap/>
            <w:vAlign w:val="center"/>
          </w:tcPr>
          <w:p w14:paraId="3ACD1B42">
            <w:pPr>
              <w:widowControl/>
              <w:shd w:val="clear" w:color="auto" w:fill="FFFFFF"/>
              <w:jc w:val="center"/>
              <w:rPr>
                <w:b/>
              </w:rPr>
            </w:pPr>
            <w:r>
              <w:t>548,9</w:t>
            </w:r>
          </w:p>
        </w:tc>
        <w:tc>
          <w:tcPr>
            <w:tcW w:w="1400" w:type="dxa"/>
            <w:shd w:val="clear" w:color="auto" w:fill="auto"/>
            <w:noWrap/>
            <w:vAlign w:val="center"/>
          </w:tcPr>
          <w:p w14:paraId="699B90A2">
            <w:pPr>
              <w:widowControl/>
              <w:shd w:val="clear" w:color="auto" w:fill="FFFFFF"/>
              <w:jc w:val="center"/>
            </w:pPr>
            <w:r>
              <w:t>0</w:t>
            </w:r>
          </w:p>
        </w:tc>
        <w:tc>
          <w:tcPr>
            <w:tcW w:w="1620" w:type="dxa"/>
            <w:gridSpan w:val="2"/>
            <w:shd w:val="clear" w:color="auto" w:fill="auto"/>
            <w:noWrap/>
            <w:vAlign w:val="center"/>
          </w:tcPr>
          <w:p w14:paraId="10089901">
            <w:pPr>
              <w:widowControl/>
              <w:shd w:val="clear" w:color="auto" w:fill="FFFFFF"/>
              <w:jc w:val="center"/>
              <w:rPr>
                <w:rFonts w:hint="default"/>
                <w:lang w:val="ru-RU"/>
              </w:rPr>
            </w:pPr>
            <w:r>
              <w:rPr>
                <w:rFonts w:hint="default"/>
                <w:lang w:val="ru-RU"/>
              </w:rPr>
              <w:t>2 637,5</w:t>
            </w:r>
          </w:p>
        </w:tc>
      </w:tr>
      <w:tr w14:paraId="7F749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jc w:val="center"/>
        </w:trPr>
        <w:tc>
          <w:tcPr>
            <w:tcW w:w="2441" w:type="dxa"/>
            <w:shd w:val="clear" w:color="auto" w:fill="FFFFFF"/>
            <w:noWrap/>
          </w:tcPr>
          <w:p w14:paraId="70B13E05">
            <w:pPr>
              <w:widowControl/>
              <w:autoSpaceDE/>
              <w:autoSpaceDN/>
              <w:adjustRightInd/>
            </w:pPr>
            <w:r>
              <w:t>ШТРАФЫ, САНКЦИИ, ВОЗМЕЩЕНИЕ УЩЕРБА</w:t>
            </w:r>
          </w:p>
        </w:tc>
        <w:tc>
          <w:tcPr>
            <w:tcW w:w="1275" w:type="dxa"/>
            <w:shd w:val="clear" w:color="auto" w:fill="auto"/>
            <w:noWrap/>
            <w:vAlign w:val="center"/>
          </w:tcPr>
          <w:p w14:paraId="5AA54425">
            <w:pPr>
              <w:widowControl/>
              <w:shd w:val="clear" w:color="auto" w:fill="FFFFFF"/>
              <w:jc w:val="center"/>
              <w:rPr>
                <w:rFonts w:hint="default"/>
                <w:lang w:val="ru-RU"/>
              </w:rPr>
            </w:pPr>
            <w:r>
              <w:rPr>
                <w:rFonts w:hint="default"/>
                <w:lang w:val="ru-RU"/>
              </w:rPr>
              <w:t>584,6</w:t>
            </w:r>
          </w:p>
        </w:tc>
        <w:tc>
          <w:tcPr>
            <w:tcW w:w="1275" w:type="dxa"/>
            <w:shd w:val="clear" w:color="auto" w:fill="auto"/>
            <w:noWrap/>
            <w:vAlign w:val="center"/>
          </w:tcPr>
          <w:p w14:paraId="113422E0">
            <w:pPr>
              <w:widowControl/>
              <w:shd w:val="clear" w:color="auto" w:fill="FFFFFF"/>
              <w:jc w:val="center"/>
            </w:pPr>
            <w:r>
              <w:fldChar w:fldCharType="begin"/>
            </w:r>
            <w:r>
              <w:instrText xml:space="preserve"> LINK Excel.Sheet.12 "C:\\bacup\\Мои документы 1\\Documents\\ПРОВЕРКИ 2020-2024\\Проверки 2024 год\\ПРОЕКТ 2025\\ ЗАКЛЮЧЕНИЕ НА ПРОЕКТ МР НА 2025 ГОД\\Прил.1 Динамика доходов бюджета. .xlsx""Лист2!R48C2" \a \f 4 \h  \* MERGEFORMAT </w:instrText>
            </w:r>
            <w:r>
              <w:fldChar w:fldCharType="separate"/>
            </w:r>
            <w:r>
              <w:rPr>
                <w:rFonts w:ascii="Calibri" w:hAnsi="Calibri" w:eastAsia="Calibri"/>
              </w:rPr>
              <w:t>1</w:t>
            </w:r>
            <w:r>
              <w:rPr>
                <w:bCs/>
                <w:i/>
                <w:iCs/>
              </w:rPr>
              <w:t xml:space="preserve"> 399,1</w:t>
            </w:r>
            <w:r>
              <w:fldChar w:fldCharType="end"/>
            </w:r>
          </w:p>
        </w:tc>
        <w:tc>
          <w:tcPr>
            <w:tcW w:w="1416" w:type="dxa"/>
            <w:shd w:val="clear" w:color="auto" w:fill="auto"/>
            <w:noWrap/>
            <w:vAlign w:val="center"/>
          </w:tcPr>
          <w:p w14:paraId="182AA047">
            <w:pPr>
              <w:widowControl/>
              <w:shd w:val="clear" w:color="auto" w:fill="FFFFFF"/>
              <w:jc w:val="center"/>
            </w:pPr>
            <w:r>
              <w:t>3 490,1</w:t>
            </w:r>
          </w:p>
        </w:tc>
        <w:tc>
          <w:tcPr>
            <w:tcW w:w="1400" w:type="dxa"/>
            <w:shd w:val="clear" w:color="auto" w:fill="auto"/>
            <w:noWrap/>
            <w:vAlign w:val="center"/>
          </w:tcPr>
          <w:p w14:paraId="36538069">
            <w:pPr>
              <w:widowControl/>
              <w:shd w:val="clear" w:color="auto" w:fill="FFFFFF"/>
              <w:jc w:val="center"/>
            </w:pPr>
            <w:r>
              <w:t>700,0</w:t>
            </w:r>
          </w:p>
        </w:tc>
        <w:tc>
          <w:tcPr>
            <w:tcW w:w="1620" w:type="dxa"/>
            <w:gridSpan w:val="2"/>
            <w:shd w:val="clear" w:color="auto" w:fill="auto"/>
            <w:noWrap/>
            <w:vAlign w:val="center"/>
          </w:tcPr>
          <w:p w14:paraId="3C7213F6">
            <w:pPr>
              <w:widowControl/>
              <w:shd w:val="clear" w:color="auto" w:fill="FFFFFF"/>
              <w:jc w:val="center"/>
            </w:pPr>
            <w:r>
              <w:t>1 008,1</w:t>
            </w:r>
          </w:p>
        </w:tc>
      </w:tr>
      <w:tr w14:paraId="5BF38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jc w:val="center"/>
        </w:trPr>
        <w:tc>
          <w:tcPr>
            <w:tcW w:w="2441" w:type="dxa"/>
            <w:shd w:val="clear" w:color="auto" w:fill="FFFFFF"/>
            <w:noWrap/>
          </w:tcPr>
          <w:p w14:paraId="3739B0B0">
            <w:pPr>
              <w:widowControl/>
              <w:autoSpaceDE/>
              <w:autoSpaceDN/>
              <w:adjustRightInd/>
            </w:pPr>
            <w:r>
              <w:t>ПРОЧИЕ НЕНАЛОГОВЫЕ ДОХОДЫ</w:t>
            </w:r>
          </w:p>
        </w:tc>
        <w:tc>
          <w:tcPr>
            <w:tcW w:w="1275" w:type="dxa"/>
            <w:shd w:val="clear" w:color="auto" w:fill="auto"/>
            <w:noWrap/>
            <w:vAlign w:val="center"/>
          </w:tcPr>
          <w:p w14:paraId="3B3C1433">
            <w:pPr>
              <w:widowControl/>
              <w:shd w:val="clear" w:color="auto" w:fill="FFFFFF"/>
              <w:jc w:val="center"/>
              <w:rPr>
                <w:rFonts w:hint="default"/>
                <w:lang w:val="ru-RU"/>
              </w:rPr>
            </w:pPr>
            <w:r>
              <w:rPr>
                <w:rFonts w:hint="default"/>
                <w:lang w:val="ru-RU"/>
              </w:rPr>
              <w:t>0</w:t>
            </w:r>
          </w:p>
        </w:tc>
        <w:tc>
          <w:tcPr>
            <w:tcW w:w="1275" w:type="dxa"/>
            <w:shd w:val="clear" w:color="auto" w:fill="auto"/>
            <w:noWrap/>
            <w:vAlign w:val="center"/>
          </w:tcPr>
          <w:p w14:paraId="0ADFAE37">
            <w:pPr>
              <w:widowControl/>
              <w:shd w:val="clear" w:color="auto" w:fill="FFFFFF"/>
              <w:jc w:val="center"/>
            </w:pPr>
            <w:r>
              <w:fldChar w:fldCharType="begin"/>
            </w:r>
            <w:r>
              <w:instrText xml:space="preserve"> LINK Excel.Sheet.12 "C:\\bacup\\Мои документы 1\\Documents\\ПРОВЕРКИ 2020-2024\\Проверки 2024 год\\ПРОЕКТ 2025\\ ЗАКЛЮЧЕНИЕ НА ПРОЕКТ МР НА 2025 ГОД\\Прил.1 Динамика доходов бюджета. .xlsx""Лист2!R49C2" \a \f 4 \h  \* MERGEFORMAT </w:instrText>
            </w:r>
            <w:r>
              <w:fldChar w:fldCharType="separate"/>
            </w:r>
            <w:r>
              <w:rPr>
                <w:rFonts w:ascii="Calibri" w:hAnsi="Calibri" w:eastAsia="Calibri"/>
              </w:rPr>
              <w:t>2</w:t>
            </w:r>
            <w:r>
              <w:rPr>
                <w:bCs/>
                <w:i/>
                <w:iCs/>
              </w:rPr>
              <w:t xml:space="preserve"> 001,6</w:t>
            </w:r>
            <w:r>
              <w:fldChar w:fldCharType="end"/>
            </w:r>
          </w:p>
        </w:tc>
        <w:tc>
          <w:tcPr>
            <w:tcW w:w="1416" w:type="dxa"/>
            <w:shd w:val="clear" w:color="auto" w:fill="auto"/>
            <w:noWrap/>
            <w:vAlign w:val="center"/>
          </w:tcPr>
          <w:p w14:paraId="422B249C">
            <w:pPr>
              <w:widowControl/>
              <w:shd w:val="clear" w:color="auto" w:fill="FFFFFF"/>
              <w:jc w:val="center"/>
              <w:rPr>
                <w:rFonts w:hint="default"/>
                <w:lang w:val="ru-RU"/>
              </w:rPr>
            </w:pPr>
            <w:r>
              <w:rPr>
                <w:rFonts w:hint="default"/>
                <w:lang w:val="ru-RU"/>
              </w:rPr>
              <w:t>-1 994,3</w:t>
            </w:r>
          </w:p>
        </w:tc>
        <w:tc>
          <w:tcPr>
            <w:tcW w:w="1400" w:type="dxa"/>
            <w:shd w:val="clear" w:color="auto" w:fill="auto"/>
            <w:noWrap/>
            <w:vAlign w:val="center"/>
          </w:tcPr>
          <w:p w14:paraId="0C284A18">
            <w:pPr>
              <w:widowControl/>
              <w:shd w:val="clear" w:color="auto" w:fill="FFFFFF"/>
              <w:jc w:val="center"/>
            </w:pPr>
            <w:r>
              <w:t>0</w:t>
            </w:r>
          </w:p>
        </w:tc>
        <w:tc>
          <w:tcPr>
            <w:tcW w:w="1620" w:type="dxa"/>
            <w:gridSpan w:val="2"/>
            <w:shd w:val="clear" w:color="auto" w:fill="auto"/>
            <w:noWrap/>
            <w:vAlign w:val="center"/>
          </w:tcPr>
          <w:p w14:paraId="00AF30E5">
            <w:pPr>
              <w:widowControl/>
              <w:shd w:val="clear" w:color="auto" w:fill="FFFFFF"/>
              <w:jc w:val="center"/>
            </w:pPr>
            <w:r>
              <w:t>468,4</w:t>
            </w:r>
          </w:p>
        </w:tc>
      </w:tr>
      <w:tr w14:paraId="7AC14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jc w:val="center"/>
        </w:trPr>
        <w:tc>
          <w:tcPr>
            <w:tcW w:w="2441" w:type="dxa"/>
            <w:shd w:val="clear" w:color="auto" w:fill="auto"/>
            <w:noWrap/>
          </w:tcPr>
          <w:p w14:paraId="27AFA033">
            <w:pPr>
              <w:widowControl/>
              <w:autoSpaceDE/>
              <w:autoSpaceDN/>
              <w:adjustRightInd/>
            </w:pPr>
          </w:p>
        </w:tc>
        <w:tc>
          <w:tcPr>
            <w:tcW w:w="1275" w:type="dxa"/>
            <w:shd w:val="clear" w:color="auto" w:fill="auto"/>
            <w:noWrap/>
            <w:vAlign w:val="center"/>
          </w:tcPr>
          <w:p w14:paraId="17A18558">
            <w:pPr>
              <w:widowControl/>
              <w:shd w:val="clear" w:color="auto" w:fill="FFFFFF"/>
              <w:jc w:val="center"/>
            </w:pPr>
          </w:p>
        </w:tc>
        <w:tc>
          <w:tcPr>
            <w:tcW w:w="1275" w:type="dxa"/>
            <w:shd w:val="clear" w:color="auto" w:fill="auto"/>
            <w:noWrap/>
            <w:vAlign w:val="center"/>
          </w:tcPr>
          <w:p w14:paraId="2A853904">
            <w:pPr>
              <w:widowControl/>
              <w:shd w:val="clear" w:color="auto" w:fill="FFFFFF"/>
              <w:jc w:val="both"/>
            </w:pPr>
          </w:p>
        </w:tc>
        <w:tc>
          <w:tcPr>
            <w:tcW w:w="1416" w:type="dxa"/>
            <w:shd w:val="clear" w:color="auto" w:fill="auto"/>
            <w:noWrap/>
            <w:vAlign w:val="center"/>
          </w:tcPr>
          <w:p w14:paraId="53E92332">
            <w:pPr>
              <w:widowControl/>
              <w:shd w:val="clear" w:color="auto" w:fill="FFFFFF"/>
              <w:jc w:val="center"/>
            </w:pPr>
          </w:p>
        </w:tc>
        <w:tc>
          <w:tcPr>
            <w:tcW w:w="1400" w:type="dxa"/>
            <w:shd w:val="clear" w:color="auto" w:fill="auto"/>
            <w:noWrap/>
            <w:vAlign w:val="center"/>
          </w:tcPr>
          <w:p w14:paraId="31F81FB7">
            <w:pPr>
              <w:widowControl/>
              <w:shd w:val="clear" w:color="auto" w:fill="FFFFFF"/>
              <w:jc w:val="center"/>
            </w:pPr>
          </w:p>
        </w:tc>
        <w:tc>
          <w:tcPr>
            <w:tcW w:w="1620" w:type="dxa"/>
            <w:gridSpan w:val="2"/>
            <w:shd w:val="clear" w:color="auto" w:fill="auto"/>
            <w:noWrap/>
            <w:vAlign w:val="center"/>
          </w:tcPr>
          <w:p w14:paraId="16E56E33">
            <w:pPr>
              <w:widowControl/>
              <w:shd w:val="clear" w:color="auto" w:fill="FFFFFF"/>
              <w:jc w:val="center"/>
            </w:pPr>
          </w:p>
        </w:tc>
      </w:tr>
    </w:tbl>
    <w:p w14:paraId="650B2BD6">
      <w:pPr>
        <w:widowControl/>
        <w:autoSpaceDE/>
        <w:autoSpaceDN/>
        <w:adjustRightInd/>
        <w:spacing w:line="360" w:lineRule="auto"/>
        <w:ind w:left="697"/>
        <w:jc w:val="both"/>
        <w:rPr>
          <w:sz w:val="24"/>
          <w:szCs w:val="24"/>
        </w:rPr>
      </w:pPr>
    </w:p>
    <w:p w14:paraId="789D90DF">
      <w:pPr>
        <w:widowControl/>
        <w:autoSpaceDE/>
        <w:autoSpaceDN/>
        <w:adjustRightInd/>
        <w:spacing w:line="360" w:lineRule="auto"/>
        <w:ind w:left="142" w:firstLine="555"/>
        <w:rPr>
          <w:sz w:val="24"/>
          <w:szCs w:val="24"/>
        </w:rPr>
      </w:pPr>
      <w:r>
        <w:rPr>
          <w:sz w:val="24"/>
          <w:szCs w:val="24"/>
        </w:rPr>
        <w:t>Динамика доходов от уплаты налога на доходы физических лиц в 2026-2028 годах приведена ниже в таблице:</w:t>
      </w:r>
    </w:p>
    <w:tbl>
      <w:tblPr>
        <w:tblStyle w:val="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536"/>
        <w:gridCol w:w="1417"/>
        <w:gridCol w:w="1418"/>
        <w:gridCol w:w="1418"/>
      </w:tblGrid>
      <w:tr w14:paraId="1F48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17" w:type="dxa"/>
            <w:tcBorders>
              <w:top w:val="single" w:color="auto" w:sz="4" w:space="0"/>
              <w:left w:val="single" w:color="auto" w:sz="4" w:space="0"/>
              <w:bottom w:val="single" w:color="auto" w:sz="4" w:space="0"/>
              <w:right w:val="single" w:color="auto" w:sz="4" w:space="0"/>
            </w:tcBorders>
            <w:noWrap/>
            <w:vAlign w:val="bottom"/>
          </w:tcPr>
          <w:p w14:paraId="4FCBBCF0">
            <w:pPr>
              <w:widowControl/>
              <w:autoSpaceDE/>
              <w:autoSpaceDN/>
              <w:adjustRightInd/>
              <w:jc w:val="center"/>
              <w:rPr>
                <w:bCs/>
                <w:sz w:val="22"/>
                <w:szCs w:val="22"/>
              </w:rPr>
            </w:pPr>
          </w:p>
        </w:tc>
        <w:tc>
          <w:tcPr>
            <w:tcW w:w="4536" w:type="dxa"/>
            <w:tcBorders>
              <w:top w:val="single" w:color="auto" w:sz="4" w:space="0"/>
              <w:left w:val="single" w:color="auto" w:sz="4" w:space="0"/>
              <w:bottom w:val="single" w:color="auto" w:sz="4" w:space="0"/>
              <w:right w:val="single" w:color="auto" w:sz="4" w:space="0"/>
            </w:tcBorders>
            <w:noWrap/>
            <w:vAlign w:val="center"/>
          </w:tcPr>
          <w:p w14:paraId="561C1BD4">
            <w:pPr>
              <w:widowControl/>
              <w:autoSpaceDE/>
              <w:autoSpaceDN/>
              <w:adjustRightInd/>
              <w:jc w:val="center"/>
              <w:rPr>
                <w:b/>
                <w:sz w:val="22"/>
                <w:szCs w:val="22"/>
              </w:rPr>
            </w:pPr>
            <w:r>
              <w:rPr>
                <w:b/>
                <w:sz w:val="22"/>
                <w:szCs w:val="22"/>
              </w:rPr>
              <w:t>Налог на доходы физических лиц (НДФЛ)</w:t>
            </w:r>
          </w:p>
        </w:tc>
        <w:tc>
          <w:tcPr>
            <w:tcW w:w="1417" w:type="dxa"/>
            <w:tcBorders>
              <w:top w:val="single" w:color="auto" w:sz="4" w:space="0"/>
              <w:left w:val="single" w:color="auto" w:sz="4" w:space="0"/>
              <w:bottom w:val="single" w:color="auto" w:sz="4" w:space="0"/>
              <w:right w:val="single" w:color="auto" w:sz="4" w:space="0"/>
            </w:tcBorders>
            <w:noWrap/>
            <w:vAlign w:val="center"/>
          </w:tcPr>
          <w:p w14:paraId="0F64694A">
            <w:pPr>
              <w:widowControl/>
              <w:autoSpaceDE/>
              <w:autoSpaceDN/>
              <w:adjustRightInd/>
              <w:jc w:val="center"/>
              <w:rPr>
                <w:b/>
                <w:bCs/>
                <w:sz w:val="22"/>
                <w:szCs w:val="22"/>
              </w:rPr>
            </w:pPr>
            <w:r>
              <w:rPr>
                <w:b/>
                <w:sz w:val="22"/>
                <w:szCs w:val="22"/>
              </w:rPr>
              <w:t>2026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1A27E41F">
            <w:pPr>
              <w:widowControl/>
              <w:autoSpaceDE/>
              <w:autoSpaceDN/>
              <w:adjustRightInd/>
              <w:jc w:val="center"/>
              <w:rPr>
                <w:b/>
                <w:bCs/>
                <w:sz w:val="22"/>
                <w:szCs w:val="22"/>
              </w:rPr>
            </w:pPr>
            <w:r>
              <w:rPr>
                <w:b/>
                <w:sz w:val="22"/>
                <w:szCs w:val="22"/>
              </w:rPr>
              <w:t>2027год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0767417F">
            <w:pPr>
              <w:widowControl/>
              <w:autoSpaceDE/>
              <w:autoSpaceDN/>
              <w:adjustRightInd/>
              <w:jc w:val="center"/>
              <w:rPr>
                <w:b/>
                <w:bCs/>
                <w:sz w:val="22"/>
                <w:szCs w:val="22"/>
              </w:rPr>
            </w:pPr>
            <w:r>
              <w:rPr>
                <w:b/>
                <w:sz w:val="22"/>
                <w:szCs w:val="22"/>
              </w:rPr>
              <w:t>2028 год</w:t>
            </w:r>
          </w:p>
        </w:tc>
      </w:tr>
      <w:tr w14:paraId="27AB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tcBorders>
              <w:top w:val="single" w:color="auto" w:sz="4" w:space="0"/>
              <w:left w:val="single" w:color="auto" w:sz="4" w:space="0"/>
              <w:bottom w:val="single" w:color="auto" w:sz="4" w:space="0"/>
              <w:right w:val="single" w:color="auto" w:sz="4" w:space="0"/>
            </w:tcBorders>
            <w:noWrap/>
          </w:tcPr>
          <w:p w14:paraId="3611C9FC">
            <w:pPr>
              <w:widowControl/>
              <w:autoSpaceDE/>
              <w:autoSpaceDN/>
              <w:adjustRightInd/>
              <w:jc w:val="center"/>
              <w:rPr>
                <w:bCs/>
                <w:sz w:val="22"/>
                <w:szCs w:val="22"/>
              </w:rPr>
            </w:pPr>
            <w:r>
              <w:rPr>
                <w:bCs/>
                <w:sz w:val="22"/>
                <w:szCs w:val="22"/>
              </w:rPr>
              <w:t>1.</w:t>
            </w:r>
          </w:p>
        </w:tc>
        <w:tc>
          <w:tcPr>
            <w:tcW w:w="4536" w:type="dxa"/>
            <w:tcBorders>
              <w:top w:val="single" w:color="auto" w:sz="4" w:space="0"/>
              <w:left w:val="single" w:color="auto" w:sz="4" w:space="0"/>
              <w:bottom w:val="single" w:color="auto" w:sz="4" w:space="0"/>
              <w:right w:val="single" w:color="auto" w:sz="4" w:space="0"/>
            </w:tcBorders>
            <w:noWrap/>
            <w:vAlign w:val="center"/>
          </w:tcPr>
          <w:p w14:paraId="637E8B75">
            <w:pPr>
              <w:widowControl/>
              <w:autoSpaceDE/>
              <w:autoSpaceDN/>
              <w:adjustRightInd/>
              <w:rPr>
                <w:bCs/>
                <w:sz w:val="22"/>
                <w:szCs w:val="22"/>
              </w:rPr>
            </w:pPr>
            <w:r>
              <w:rPr>
                <w:bCs/>
                <w:sz w:val="22"/>
                <w:szCs w:val="22"/>
              </w:rPr>
              <w:t>Проект бюджета  (2026–2028 гг.),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08B8E937">
            <w:pPr>
              <w:widowControl/>
              <w:autoSpaceDE/>
              <w:autoSpaceDN/>
              <w:adjustRightInd/>
              <w:jc w:val="center"/>
              <w:rPr>
                <w:bCs/>
                <w:sz w:val="22"/>
                <w:szCs w:val="22"/>
                <w:highlight w:val="yellow"/>
              </w:rPr>
            </w:pPr>
            <w:r>
              <w:rPr>
                <w:bCs/>
                <w:sz w:val="22"/>
                <w:szCs w:val="22"/>
              </w:rPr>
              <w:t>228 393,5</w:t>
            </w:r>
          </w:p>
        </w:tc>
        <w:tc>
          <w:tcPr>
            <w:tcW w:w="1418" w:type="dxa"/>
            <w:tcBorders>
              <w:top w:val="single" w:color="auto" w:sz="4" w:space="0"/>
              <w:left w:val="single" w:color="auto" w:sz="4" w:space="0"/>
              <w:bottom w:val="single" w:color="auto" w:sz="4" w:space="0"/>
              <w:right w:val="single" w:color="auto" w:sz="4" w:space="0"/>
            </w:tcBorders>
            <w:noWrap/>
            <w:vAlign w:val="center"/>
          </w:tcPr>
          <w:p w14:paraId="38D79110">
            <w:pPr>
              <w:widowControl/>
              <w:autoSpaceDE/>
              <w:autoSpaceDN/>
              <w:adjustRightInd/>
              <w:jc w:val="center"/>
              <w:rPr>
                <w:bCs/>
                <w:sz w:val="22"/>
                <w:szCs w:val="22"/>
              </w:rPr>
            </w:pPr>
            <w:r>
              <w:rPr>
                <w:bCs/>
                <w:sz w:val="22"/>
                <w:szCs w:val="22"/>
              </w:rPr>
              <w:t>245 328,0</w:t>
            </w:r>
          </w:p>
        </w:tc>
        <w:tc>
          <w:tcPr>
            <w:tcW w:w="1418" w:type="dxa"/>
            <w:tcBorders>
              <w:top w:val="single" w:color="auto" w:sz="4" w:space="0"/>
              <w:left w:val="single" w:color="auto" w:sz="4" w:space="0"/>
              <w:bottom w:val="single" w:color="auto" w:sz="4" w:space="0"/>
              <w:right w:val="single" w:color="auto" w:sz="4" w:space="0"/>
            </w:tcBorders>
            <w:noWrap/>
            <w:vAlign w:val="center"/>
          </w:tcPr>
          <w:p w14:paraId="40E4E17D">
            <w:pPr>
              <w:widowControl/>
              <w:autoSpaceDE/>
              <w:autoSpaceDN/>
              <w:adjustRightInd/>
              <w:jc w:val="center"/>
              <w:rPr>
                <w:bCs/>
                <w:sz w:val="22"/>
                <w:szCs w:val="22"/>
              </w:rPr>
            </w:pPr>
            <w:r>
              <w:rPr>
                <w:bCs/>
                <w:sz w:val="22"/>
                <w:szCs w:val="22"/>
              </w:rPr>
              <w:t>245 328</w:t>
            </w:r>
          </w:p>
        </w:tc>
      </w:tr>
      <w:tr w14:paraId="3771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70E70549">
            <w:pPr>
              <w:widowControl/>
              <w:autoSpaceDE/>
              <w:autoSpaceDN/>
              <w:adjustRightInd/>
              <w:jc w:val="center"/>
              <w:rPr>
                <w:sz w:val="22"/>
                <w:szCs w:val="22"/>
              </w:rPr>
            </w:pPr>
            <w:r>
              <w:rPr>
                <w:sz w:val="22"/>
                <w:szCs w:val="22"/>
              </w:rPr>
              <w:t>1.1</w:t>
            </w:r>
          </w:p>
        </w:tc>
        <w:tc>
          <w:tcPr>
            <w:tcW w:w="4536" w:type="dxa"/>
            <w:tcBorders>
              <w:top w:val="single" w:color="auto" w:sz="4" w:space="0"/>
              <w:left w:val="single" w:color="auto" w:sz="4" w:space="0"/>
              <w:bottom w:val="single" w:color="auto" w:sz="4" w:space="0"/>
              <w:right w:val="single" w:color="auto" w:sz="4" w:space="0"/>
            </w:tcBorders>
            <w:noWrap/>
            <w:vAlign w:val="center"/>
          </w:tcPr>
          <w:p w14:paraId="69C2A4A6">
            <w:pPr>
              <w:widowControl/>
              <w:autoSpaceDE/>
              <w:autoSpaceDN/>
              <w:adjustRightInd/>
              <w:rPr>
                <w:sz w:val="22"/>
                <w:szCs w:val="22"/>
              </w:rPr>
            </w:pPr>
            <w:r>
              <w:rPr>
                <w:sz w:val="22"/>
                <w:szCs w:val="22"/>
              </w:rPr>
              <w:t>к предыдущему году (оценка),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6B335A21">
            <w:pPr>
              <w:widowControl/>
              <w:autoSpaceDE/>
              <w:autoSpaceDN/>
              <w:adjustRightInd/>
              <w:jc w:val="center"/>
              <w:rPr>
                <w:sz w:val="22"/>
                <w:szCs w:val="22"/>
                <w:highlight w:val="yellow"/>
              </w:rPr>
            </w:pPr>
            <w:r>
              <w:rPr>
                <w:sz w:val="22"/>
                <w:szCs w:val="22"/>
              </w:rPr>
              <w:t>35 495,3</w:t>
            </w:r>
          </w:p>
        </w:tc>
        <w:tc>
          <w:tcPr>
            <w:tcW w:w="1418" w:type="dxa"/>
            <w:tcBorders>
              <w:top w:val="single" w:color="auto" w:sz="4" w:space="0"/>
              <w:left w:val="single" w:color="auto" w:sz="4" w:space="0"/>
              <w:bottom w:val="single" w:color="auto" w:sz="4" w:space="0"/>
              <w:right w:val="single" w:color="auto" w:sz="4" w:space="0"/>
            </w:tcBorders>
            <w:noWrap/>
            <w:vAlign w:val="center"/>
          </w:tcPr>
          <w:p w14:paraId="2C159E6C">
            <w:pPr>
              <w:widowControl/>
              <w:autoSpaceDE/>
              <w:autoSpaceDN/>
              <w:adjustRightInd/>
              <w:jc w:val="center"/>
              <w:rPr>
                <w:sz w:val="22"/>
                <w:szCs w:val="22"/>
              </w:rPr>
            </w:pPr>
            <w:r>
              <w:rPr>
                <w:sz w:val="22"/>
                <w:szCs w:val="22"/>
              </w:rPr>
              <w:t>16 934,5</w:t>
            </w:r>
          </w:p>
        </w:tc>
        <w:tc>
          <w:tcPr>
            <w:tcW w:w="1418" w:type="dxa"/>
            <w:tcBorders>
              <w:top w:val="single" w:color="auto" w:sz="4" w:space="0"/>
              <w:left w:val="single" w:color="auto" w:sz="4" w:space="0"/>
              <w:bottom w:val="single" w:color="auto" w:sz="4" w:space="0"/>
              <w:right w:val="single" w:color="auto" w:sz="4" w:space="0"/>
            </w:tcBorders>
            <w:noWrap/>
            <w:vAlign w:val="center"/>
          </w:tcPr>
          <w:p w14:paraId="546B6794">
            <w:pPr>
              <w:widowControl/>
              <w:autoSpaceDE/>
              <w:autoSpaceDN/>
              <w:adjustRightInd/>
              <w:jc w:val="center"/>
              <w:rPr>
                <w:sz w:val="22"/>
                <w:szCs w:val="22"/>
              </w:rPr>
            </w:pPr>
            <w:r>
              <w:rPr>
                <w:sz w:val="22"/>
                <w:szCs w:val="22"/>
              </w:rPr>
              <w:t>0</w:t>
            </w:r>
          </w:p>
        </w:tc>
      </w:tr>
      <w:tr w14:paraId="3067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19DB6CBA">
            <w:pPr>
              <w:widowControl/>
              <w:autoSpaceDE/>
              <w:autoSpaceDN/>
              <w:adjustRightInd/>
              <w:jc w:val="center"/>
              <w:rPr>
                <w:sz w:val="22"/>
                <w:szCs w:val="22"/>
              </w:rPr>
            </w:pPr>
            <w:r>
              <w:rPr>
                <w:sz w:val="22"/>
                <w:szCs w:val="22"/>
              </w:rPr>
              <w:t>1.2</w:t>
            </w:r>
          </w:p>
        </w:tc>
        <w:tc>
          <w:tcPr>
            <w:tcW w:w="4536" w:type="dxa"/>
            <w:tcBorders>
              <w:top w:val="single" w:color="auto" w:sz="4" w:space="0"/>
              <w:left w:val="single" w:color="auto" w:sz="4" w:space="0"/>
              <w:bottom w:val="single" w:color="auto" w:sz="4" w:space="0"/>
              <w:right w:val="single" w:color="auto" w:sz="4" w:space="0"/>
            </w:tcBorders>
            <w:noWrap/>
            <w:vAlign w:val="center"/>
          </w:tcPr>
          <w:p w14:paraId="11E6EAB3">
            <w:pPr>
              <w:widowControl/>
              <w:autoSpaceDE/>
              <w:autoSpaceDN/>
              <w:adjustRightInd/>
              <w:rPr>
                <w:sz w:val="22"/>
                <w:szCs w:val="22"/>
              </w:rPr>
            </w:pPr>
            <w:r>
              <w:rPr>
                <w:sz w:val="22"/>
                <w:szCs w:val="22"/>
              </w:rPr>
              <w:t>к предыдущему  году (оценка), %</w:t>
            </w:r>
          </w:p>
        </w:tc>
        <w:tc>
          <w:tcPr>
            <w:tcW w:w="1417" w:type="dxa"/>
            <w:tcBorders>
              <w:top w:val="single" w:color="auto" w:sz="4" w:space="0"/>
              <w:left w:val="single" w:color="auto" w:sz="4" w:space="0"/>
              <w:bottom w:val="single" w:color="auto" w:sz="4" w:space="0"/>
              <w:right w:val="single" w:color="auto" w:sz="4" w:space="0"/>
            </w:tcBorders>
            <w:noWrap/>
            <w:vAlign w:val="center"/>
          </w:tcPr>
          <w:p w14:paraId="62C6814F">
            <w:pPr>
              <w:widowControl/>
              <w:autoSpaceDE/>
              <w:autoSpaceDN/>
              <w:adjustRightInd/>
              <w:jc w:val="center"/>
              <w:rPr>
                <w:sz w:val="22"/>
                <w:szCs w:val="22"/>
                <w:highlight w:val="yellow"/>
              </w:rPr>
            </w:pPr>
            <w:r>
              <w:rPr>
                <w:sz w:val="22"/>
                <w:szCs w:val="22"/>
              </w:rPr>
              <w:t>118,4</w:t>
            </w:r>
          </w:p>
        </w:tc>
        <w:tc>
          <w:tcPr>
            <w:tcW w:w="1418" w:type="dxa"/>
            <w:tcBorders>
              <w:top w:val="single" w:color="auto" w:sz="4" w:space="0"/>
              <w:left w:val="single" w:color="auto" w:sz="4" w:space="0"/>
              <w:bottom w:val="single" w:color="auto" w:sz="4" w:space="0"/>
              <w:right w:val="single" w:color="auto" w:sz="4" w:space="0"/>
            </w:tcBorders>
            <w:noWrap/>
            <w:vAlign w:val="center"/>
          </w:tcPr>
          <w:p w14:paraId="745B9AF3">
            <w:pPr>
              <w:widowControl/>
              <w:autoSpaceDE/>
              <w:autoSpaceDN/>
              <w:adjustRightInd/>
              <w:jc w:val="center"/>
              <w:rPr>
                <w:sz w:val="22"/>
                <w:szCs w:val="22"/>
              </w:rPr>
            </w:pPr>
            <w:r>
              <w:rPr>
                <w:sz w:val="22"/>
                <w:szCs w:val="22"/>
              </w:rPr>
              <w:t>107,4</w:t>
            </w:r>
          </w:p>
        </w:tc>
        <w:tc>
          <w:tcPr>
            <w:tcW w:w="1418" w:type="dxa"/>
            <w:tcBorders>
              <w:top w:val="single" w:color="auto" w:sz="4" w:space="0"/>
              <w:left w:val="single" w:color="auto" w:sz="4" w:space="0"/>
              <w:bottom w:val="single" w:color="auto" w:sz="4" w:space="0"/>
              <w:right w:val="single" w:color="auto" w:sz="4" w:space="0"/>
            </w:tcBorders>
            <w:noWrap/>
            <w:vAlign w:val="center"/>
          </w:tcPr>
          <w:p w14:paraId="795441A7">
            <w:pPr>
              <w:widowControl/>
              <w:autoSpaceDE/>
              <w:autoSpaceDN/>
              <w:adjustRightInd/>
              <w:jc w:val="center"/>
              <w:rPr>
                <w:sz w:val="22"/>
                <w:szCs w:val="22"/>
              </w:rPr>
            </w:pPr>
            <w:r>
              <w:rPr>
                <w:sz w:val="22"/>
                <w:szCs w:val="22"/>
              </w:rPr>
              <w:t>100,0</w:t>
            </w:r>
          </w:p>
        </w:tc>
      </w:tr>
      <w:tr w14:paraId="20EE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17" w:type="dxa"/>
            <w:tcBorders>
              <w:top w:val="single" w:color="auto" w:sz="4" w:space="0"/>
              <w:left w:val="single" w:color="auto" w:sz="4" w:space="0"/>
              <w:bottom w:val="single" w:color="auto" w:sz="4" w:space="0"/>
              <w:right w:val="single" w:color="auto" w:sz="4" w:space="0"/>
            </w:tcBorders>
            <w:noWrap/>
          </w:tcPr>
          <w:p w14:paraId="11A7C38A">
            <w:pPr>
              <w:widowControl/>
              <w:autoSpaceDE/>
              <w:autoSpaceDN/>
              <w:adjustRightInd/>
              <w:jc w:val="center"/>
              <w:rPr>
                <w:sz w:val="22"/>
                <w:szCs w:val="22"/>
              </w:rPr>
            </w:pPr>
            <w:r>
              <w:rPr>
                <w:sz w:val="22"/>
                <w:szCs w:val="22"/>
              </w:rPr>
              <w:t>2.</w:t>
            </w:r>
          </w:p>
        </w:tc>
        <w:tc>
          <w:tcPr>
            <w:tcW w:w="8789" w:type="dxa"/>
            <w:gridSpan w:val="4"/>
            <w:tcBorders>
              <w:top w:val="single" w:color="auto" w:sz="4" w:space="0"/>
              <w:left w:val="single" w:color="auto" w:sz="4" w:space="0"/>
              <w:bottom w:val="single" w:color="auto" w:sz="4" w:space="0"/>
              <w:right w:val="single" w:color="auto" w:sz="4" w:space="0"/>
            </w:tcBorders>
            <w:noWrap/>
          </w:tcPr>
          <w:p w14:paraId="6C05432C">
            <w:pPr>
              <w:widowControl/>
              <w:autoSpaceDE/>
              <w:autoSpaceDN/>
              <w:adjustRightInd/>
              <w:rPr>
                <w:sz w:val="22"/>
                <w:szCs w:val="22"/>
                <w:highlight w:val="yellow"/>
              </w:rPr>
            </w:pPr>
            <w:r>
              <w:rPr>
                <w:sz w:val="22"/>
                <w:szCs w:val="22"/>
              </w:rPr>
              <w:t>Ожидаемая оценка поступлений 20</w:t>
            </w:r>
            <w:r>
              <w:rPr>
                <w:sz w:val="22"/>
                <w:szCs w:val="22"/>
                <w:lang w:val="en-US"/>
              </w:rPr>
              <w:t>2</w:t>
            </w:r>
            <w:r>
              <w:rPr>
                <w:sz w:val="22"/>
                <w:szCs w:val="22"/>
              </w:rPr>
              <w:t>5 года</w:t>
            </w:r>
          </w:p>
        </w:tc>
      </w:tr>
      <w:tr w14:paraId="006E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05E57E05">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5020431B">
            <w:pPr>
              <w:widowControl/>
              <w:autoSpaceDE/>
              <w:autoSpaceDN/>
              <w:adjustRightInd/>
              <w:rPr>
                <w:sz w:val="22"/>
                <w:szCs w:val="22"/>
              </w:rPr>
            </w:pPr>
            <w:r>
              <w:rPr>
                <w:sz w:val="22"/>
                <w:szCs w:val="22"/>
              </w:rPr>
              <w:t>по данным проекта бюджета,</w:t>
            </w:r>
          </w:p>
          <w:p w14:paraId="00BB52FB">
            <w:pPr>
              <w:widowControl/>
              <w:autoSpaceDE/>
              <w:autoSpaceDN/>
              <w:adjustRightInd/>
              <w:rPr>
                <w:sz w:val="22"/>
                <w:szCs w:val="22"/>
              </w:rPr>
            </w:pPr>
            <w:r>
              <w:rPr>
                <w:sz w:val="22"/>
                <w:szCs w:val="22"/>
              </w:rPr>
              <w:t>тыс. рублей</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2D6B1770">
            <w:pPr>
              <w:widowControl/>
              <w:autoSpaceDE/>
              <w:autoSpaceDN/>
              <w:adjustRightInd/>
              <w:rPr>
                <w:sz w:val="22"/>
                <w:szCs w:val="22"/>
                <w:highlight w:val="yellow"/>
              </w:rPr>
            </w:pPr>
            <w:r>
              <w:rPr>
                <w:sz w:val="22"/>
                <w:szCs w:val="22"/>
              </w:rPr>
              <w:t>192 898,2</w:t>
            </w:r>
          </w:p>
        </w:tc>
      </w:tr>
      <w:tr w14:paraId="2BC3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3CDE82C5">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3F4B8C55">
            <w:pPr>
              <w:widowControl/>
              <w:autoSpaceDE/>
              <w:autoSpaceDN/>
              <w:adjustRightInd/>
              <w:rPr>
                <w:sz w:val="22"/>
                <w:szCs w:val="22"/>
              </w:rPr>
            </w:pPr>
            <w:r>
              <w:rPr>
                <w:sz w:val="22"/>
                <w:szCs w:val="22"/>
              </w:rPr>
              <w:t>Факт 2024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50536E85">
            <w:pPr>
              <w:widowControl/>
              <w:autoSpaceDE/>
              <w:autoSpaceDN/>
              <w:adjustRightInd/>
              <w:rPr>
                <w:sz w:val="22"/>
                <w:szCs w:val="22"/>
              </w:rPr>
            </w:pPr>
            <w:r>
              <w:rPr>
                <w:sz w:val="22"/>
                <w:szCs w:val="22"/>
              </w:rPr>
              <w:t>173 61</w:t>
            </w:r>
            <w:r>
              <w:rPr>
                <w:rFonts w:hint="default"/>
                <w:sz w:val="22"/>
                <w:szCs w:val="22"/>
                <w:lang w:val="ru-RU"/>
              </w:rPr>
              <w:t>8</w:t>
            </w:r>
            <w:r>
              <w:rPr>
                <w:sz w:val="22"/>
                <w:szCs w:val="22"/>
              </w:rPr>
              <w:t>,7</w:t>
            </w:r>
          </w:p>
        </w:tc>
      </w:tr>
      <w:tr w14:paraId="1E3C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12EC4D78">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0E64ADD8">
            <w:pPr>
              <w:widowControl/>
              <w:autoSpaceDE/>
              <w:autoSpaceDN/>
              <w:adjustRightInd/>
              <w:rPr>
                <w:sz w:val="22"/>
                <w:szCs w:val="22"/>
              </w:rPr>
            </w:pPr>
            <w:r>
              <w:rPr>
                <w:sz w:val="22"/>
                <w:szCs w:val="22"/>
              </w:rPr>
              <w:t>Факт 2023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476DE241">
            <w:pPr>
              <w:widowControl/>
              <w:shd w:val="clear" w:color="auto" w:fill="FFFFFF"/>
            </w:pPr>
            <w:r>
              <w:t>149 497,3</w:t>
            </w:r>
          </w:p>
          <w:p w14:paraId="5D8DA696">
            <w:pPr>
              <w:widowControl/>
              <w:autoSpaceDE/>
              <w:autoSpaceDN/>
              <w:adjustRightInd/>
              <w:rPr>
                <w:sz w:val="22"/>
                <w:szCs w:val="22"/>
              </w:rPr>
            </w:pPr>
          </w:p>
        </w:tc>
      </w:tr>
    </w:tbl>
    <w:p w14:paraId="19C18ACF">
      <w:pPr>
        <w:widowControl/>
        <w:tabs>
          <w:tab w:val="left" w:pos="400"/>
          <w:tab w:val="left" w:pos="426"/>
        </w:tabs>
        <w:spacing w:line="360" w:lineRule="auto"/>
        <w:ind w:firstLine="480" w:firstLineChars="200"/>
        <w:jc w:val="both"/>
        <w:rPr>
          <w:sz w:val="24"/>
          <w:szCs w:val="24"/>
        </w:rPr>
      </w:pPr>
      <w:r>
        <w:rPr>
          <w:sz w:val="24"/>
          <w:szCs w:val="24"/>
        </w:rPr>
        <w:t>Из приведенных в таблице данных видно,  что динамика прогнозируемых поступлений налога на доходы физических лиц на 2026 год возрос и составил 118,4 %,  или на 35 495,3 тыс. рублей больше в сравнении с ожидаемой оценкой поступления в текущем году.  Налог на доходы физических лиц в общем объеме доходов составляет  20,2%,  а в объеме налоговых и неналоговых доходов 80,4%.</w:t>
      </w:r>
    </w:p>
    <w:p w14:paraId="16C687F7">
      <w:pPr>
        <w:pStyle w:val="8"/>
        <w:shd w:val="clear" w:color="auto" w:fill="auto"/>
        <w:tabs>
          <w:tab w:val="left" w:pos="426"/>
        </w:tabs>
        <w:spacing w:before="0" w:after="0" w:line="276" w:lineRule="auto"/>
        <w:ind w:left="0" w:leftChars="0" w:right="20" w:firstLine="393" w:firstLineChars="164"/>
        <w:jc w:val="both"/>
        <w:rPr>
          <w:rFonts w:ascii="Times New Roman" w:hAnsi="Times New Roman"/>
          <w:sz w:val="24"/>
          <w:szCs w:val="24"/>
        </w:rPr>
      </w:pPr>
      <w:r>
        <w:rPr>
          <w:rFonts w:ascii="Times New Roman" w:hAnsi="Times New Roman"/>
          <w:sz w:val="24"/>
          <w:szCs w:val="24"/>
        </w:rPr>
        <w:t>В соответствии с</w:t>
      </w:r>
      <w:r>
        <w:rPr>
          <w:rFonts w:ascii="Times New Roman" w:hAnsi="Times New Roman"/>
          <w:sz w:val="24"/>
          <w:szCs w:val="24"/>
          <w:highlight w:val="none"/>
        </w:rPr>
        <w:t xml:space="preserve"> Решением Совета Дульдургинск</w:t>
      </w:r>
      <w:r>
        <w:rPr>
          <w:rFonts w:ascii="Times New Roman" w:hAnsi="Times New Roman"/>
          <w:sz w:val="24"/>
          <w:szCs w:val="24"/>
          <w:highlight w:val="none"/>
          <w:lang w:val="ru-RU"/>
        </w:rPr>
        <w:t>ого</w:t>
      </w:r>
      <w:r>
        <w:rPr>
          <w:rFonts w:hint="default" w:ascii="Times New Roman" w:hAnsi="Times New Roman"/>
          <w:sz w:val="24"/>
          <w:szCs w:val="24"/>
          <w:highlight w:val="none"/>
          <w:lang w:val="ru-RU"/>
        </w:rPr>
        <w:t xml:space="preserve"> муниципального округа</w:t>
      </w:r>
      <w:r>
        <w:rPr>
          <w:rFonts w:ascii="Times New Roman" w:hAnsi="Times New Roman"/>
          <w:sz w:val="24"/>
          <w:szCs w:val="24"/>
          <w:highlight w:val="none"/>
        </w:rPr>
        <w:t xml:space="preserve"> от </w:t>
      </w:r>
      <w:r>
        <w:rPr>
          <w:rFonts w:hint="default" w:ascii="Times New Roman" w:hAnsi="Times New Roman"/>
          <w:sz w:val="24"/>
          <w:szCs w:val="24"/>
          <w:highlight w:val="none"/>
          <w:lang w:val="en-US"/>
        </w:rPr>
        <w:t>06</w:t>
      </w:r>
      <w:r>
        <w:rPr>
          <w:rFonts w:ascii="Times New Roman" w:hAnsi="Times New Roman"/>
          <w:sz w:val="24"/>
          <w:szCs w:val="24"/>
          <w:highlight w:val="none"/>
        </w:rPr>
        <w:t>.1</w:t>
      </w:r>
      <w:r>
        <w:rPr>
          <w:rFonts w:hint="default" w:ascii="Times New Roman" w:hAnsi="Times New Roman"/>
          <w:sz w:val="24"/>
          <w:szCs w:val="24"/>
          <w:highlight w:val="none"/>
          <w:lang w:val="en-US"/>
        </w:rPr>
        <w:t>0</w:t>
      </w:r>
      <w:r>
        <w:rPr>
          <w:rFonts w:ascii="Times New Roman" w:hAnsi="Times New Roman"/>
          <w:sz w:val="24"/>
          <w:szCs w:val="24"/>
          <w:highlight w:val="none"/>
        </w:rPr>
        <w:t>. 2025года</w:t>
      </w:r>
      <w:r>
        <w:rPr>
          <w:rFonts w:hint="default" w:ascii="Times New Roman" w:hAnsi="Times New Roman"/>
          <w:sz w:val="24"/>
          <w:szCs w:val="24"/>
          <w:highlight w:val="none"/>
          <w:lang w:val="ru-RU"/>
        </w:rPr>
        <w:t xml:space="preserve"> </w:t>
      </w:r>
      <w:r>
        <w:rPr>
          <w:rFonts w:ascii="Times New Roman" w:hAnsi="Times New Roman"/>
          <w:sz w:val="24"/>
          <w:szCs w:val="24"/>
          <w:highlight w:val="none"/>
        </w:rPr>
        <w:t xml:space="preserve">№ </w:t>
      </w:r>
      <w:r>
        <w:rPr>
          <w:rFonts w:hint="default" w:ascii="Times New Roman" w:hAnsi="Times New Roman"/>
          <w:sz w:val="24"/>
          <w:szCs w:val="24"/>
          <w:highlight w:val="none"/>
          <w:lang w:val="en-US"/>
        </w:rPr>
        <w:t>20</w:t>
      </w:r>
      <w:r>
        <w:rPr>
          <w:rFonts w:ascii="Times New Roman" w:hAnsi="Times New Roman"/>
          <w:sz w:val="24"/>
          <w:szCs w:val="24"/>
          <w:highlight w:val="none"/>
        </w:rPr>
        <w:t xml:space="preserve"> «</w:t>
      </w:r>
      <w:r>
        <w:rPr>
          <w:rFonts w:ascii="Times New Roman" w:hAnsi="Times New Roman"/>
          <w:sz w:val="24"/>
          <w:szCs w:val="24"/>
        </w:rPr>
        <w:t>О согласии на частичную замену дотации на выравнивание бюджетной обеспеченности дополнительными нормативами отчислений  в бюджет муниципального района от налога на доходы физических лиц» дополнительный норматив  установлен в размере 85%.</w:t>
      </w:r>
    </w:p>
    <w:p w14:paraId="595AC62D">
      <w:pPr>
        <w:pStyle w:val="8"/>
        <w:shd w:val="clear" w:color="auto" w:fill="auto"/>
        <w:tabs>
          <w:tab w:val="left" w:pos="284"/>
        </w:tabs>
        <w:spacing w:before="0" w:after="0" w:line="276" w:lineRule="auto"/>
        <w:ind w:left="0" w:leftChars="0" w:right="20" w:firstLine="412" w:firstLineChars="172"/>
        <w:jc w:val="both"/>
        <w:rPr>
          <w:rFonts w:ascii="Times New Roman" w:hAnsi="Times New Roman"/>
          <w:sz w:val="24"/>
          <w:szCs w:val="24"/>
        </w:rPr>
      </w:pPr>
      <w:r>
        <w:rPr>
          <w:rFonts w:ascii="Times New Roman" w:hAnsi="Times New Roman"/>
          <w:sz w:val="24"/>
          <w:szCs w:val="24"/>
        </w:rPr>
        <w:t xml:space="preserve">Доходы от уплаты акцизов на нефтепродукты в проекте утверждены в сумме </w:t>
      </w:r>
    </w:p>
    <w:p w14:paraId="0A719613">
      <w:pPr>
        <w:pStyle w:val="8"/>
        <w:shd w:val="clear" w:color="auto" w:fill="auto"/>
        <w:tabs>
          <w:tab w:val="left" w:pos="284"/>
        </w:tabs>
        <w:spacing w:before="0" w:after="0" w:line="276" w:lineRule="auto"/>
        <w:ind w:right="20"/>
        <w:jc w:val="both"/>
        <w:rPr>
          <w:rFonts w:ascii="Times New Roman" w:hAnsi="Times New Roman"/>
          <w:sz w:val="24"/>
          <w:szCs w:val="24"/>
        </w:rPr>
      </w:pPr>
      <w:r>
        <w:rPr>
          <w:rFonts w:ascii="Times New Roman" w:hAnsi="Times New Roman"/>
          <w:sz w:val="24"/>
          <w:szCs w:val="24"/>
        </w:rPr>
        <w:t>29 472,1тыс. рублей  с увеличением  к  прогнозу исполнения за 2025год на 2 700,1 тыс. рублей или на 110,1 %.</w:t>
      </w:r>
    </w:p>
    <w:p w14:paraId="429715B1">
      <w:pPr>
        <w:pStyle w:val="8"/>
        <w:shd w:val="clear" w:color="auto" w:fill="auto"/>
        <w:tabs>
          <w:tab w:val="left" w:pos="426"/>
        </w:tabs>
        <w:spacing w:before="0" w:after="0" w:line="276" w:lineRule="auto"/>
        <w:ind w:right="20" w:firstLine="360" w:firstLineChars="150"/>
        <w:jc w:val="both"/>
        <w:rPr>
          <w:rFonts w:ascii="Times New Roman" w:hAnsi="Times New Roman"/>
          <w:highlight w:val="none"/>
          <w:shd w:val="clear" w:color="auto" w:fill="FFFFFF"/>
        </w:rPr>
      </w:pPr>
      <w:r>
        <w:rPr>
          <w:rFonts w:ascii="Times New Roman" w:hAnsi="Times New Roman"/>
          <w:sz w:val="24"/>
          <w:szCs w:val="24"/>
          <w:highlight w:val="none"/>
        </w:rPr>
        <w:t xml:space="preserve">В проекте бюджета Забайкальского края на 2026 год в приложении № 6 утверждены Дифференцированные нормативы отчислений в бюджеты муниципальных образований Забайкальского края от доходов от акцизов  на нефтепродукты. </w:t>
      </w:r>
      <w:r>
        <w:rPr>
          <w:rFonts w:ascii="Times New Roman" w:hAnsi="Times New Roman"/>
          <w:sz w:val="24"/>
          <w:szCs w:val="24"/>
          <w:highlight w:val="none"/>
          <w:shd w:val="clear" w:color="auto" w:fill="FFFFFF"/>
        </w:rPr>
        <w:t xml:space="preserve">Размеры указанных дифференцированных нормативов отчислений в местные бюджеты устанавливаются исходя из </w:t>
      </w:r>
      <w:r>
        <w:rPr>
          <w:rFonts w:ascii="Times New Roman" w:hAnsi="Times New Roman"/>
          <w:sz w:val="24"/>
          <w:szCs w:val="24"/>
          <w:highlight w:val="none"/>
          <w:shd w:val="clear" w:color="auto" w:fill="FFFFFF"/>
          <w:lang w:val="en-US"/>
        </w:rPr>
        <w:t>протяжённости</w:t>
      </w:r>
      <w:r>
        <w:rPr>
          <w:rFonts w:ascii="Times New Roman" w:hAnsi="Times New Roman"/>
          <w:sz w:val="24"/>
          <w:szCs w:val="24"/>
          <w:highlight w:val="none"/>
          <w:shd w:val="clear" w:color="auto" w:fill="FFFFFF"/>
        </w:rPr>
        <w:t xml:space="preserve"> автомобильных дорог общего пользования местного значения соответствующих муниципальных образований, органы местного самоуправления которых решают вопросы местного значения в сфере дорожной деятельности. Для Дульдургинского  муниципального округа норматив на 2026 год установлен в размере 0,5</w:t>
      </w:r>
      <w:r>
        <w:rPr>
          <w:rFonts w:hint="default" w:ascii="Times New Roman" w:hAnsi="Times New Roman"/>
          <w:sz w:val="24"/>
          <w:szCs w:val="24"/>
          <w:highlight w:val="none"/>
          <w:shd w:val="clear" w:color="auto" w:fill="FFFFFF"/>
          <w:lang w:val="en-US"/>
        </w:rPr>
        <w:t>028</w:t>
      </w:r>
      <w:r>
        <w:rPr>
          <w:rFonts w:ascii="Times New Roman" w:hAnsi="Times New Roman"/>
          <w:sz w:val="24"/>
          <w:szCs w:val="24"/>
          <w:highlight w:val="none"/>
          <w:shd w:val="clear" w:color="auto" w:fill="FFFFFF"/>
        </w:rPr>
        <w:t xml:space="preserve">  %.   </w:t>
      </w:r>
    </w:p>
    <w:p w14:paraId="1B01A974">
      <w:pPr>
        <w:widowControl/>
        <w:tabs>
          <w:tab w:val="left" w:pos="426"/>
        </w:tabs>
        <w:autoSpaceDE/>
        <w:autoSpaceDN/>
        <w:adjustRightInd/>
        <w:spacing w:line="360" w:lineRule="auto"/>
        <w:ind w:left="142"/>
        <w:rPr>
          <w:sz w:val="24"/>
          <w:szCs w:val="24"/>
        </w:rPr>
      </w:pPr>
    </w:p>
    <w:p w14:paraId="4FFCC586">
      <w:pPr>
        <w:widowControl/>
        <w:tabs>
          <w:tab w:val="left" w:pos="426"/>
        </w:tabs>
        <w:autoSpaceDE/>
        <w:autoSpaceDN/>
        <w:adjustRightInd/>
        <w:spacing w:line="360" w:lineRule="auto"/>
        <w:ind w:left="142"/>
        <w:rPr>
          <w:sz w:val="24"/>
          <w:szCs w:val="24"/>
        </w:rPr>
      </w:pPr>
      <w:r>
        <w:rPr>
          <w:sz w:val="24"/>
          <w:szCs w:val="24"/>
        </w:rPr>
        <w:t xml:space="preserve">     Динамика доходов от уплаты единого налога на </w:t>
      </w:r>
      <w:r>
        <w:rPr>
          <w:sz w:val="24"/>
          <w:szCs w:val="24"/>
          <w:lang w:val="en-US"/>
        </w:rPr>
        <w:t>вменённый</w:t>
      </w:r>
      <w:r>
        <w:rPr>
          <w:sz w:val="24"/>
          <w:szCs w:val="24"/>
        </w:rPr>
        <w:t xml:space="preserve"> доход для отдельных видов деятельности   в 2026-2028 годах приведена ниже в таблице:</w:t>
      </w:r>
    </w:p>
    <w:tbl>
      <w:tblPr>
        <w:tblStyle w:val="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536"/>
        <w:gridCol w:w="1417"/>
        <w:gridCol w:w="1418"/>
        <w:gridCol w:w="1418"/>
      </w:tblGrid>
      <w:tr w14:paraId="794E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17" w:type="dxa"/>
            <w:tcBorders>
              <w:top w:val="single" w:color="auto" w:sz="4" w:space="0"/>
              <w:left w:val="single" w:color="auto" w:sz="4" w:space="0"/>
              <w:bottom w:val="single" w:color="auto" w:sz="4" w:space="0"/>
              <w:right w:val="single" w:color="auto" w:sz="4" w:space="0"/>
            </w:tcBorders>
            <w:noWrap/>
            <w:vAlign w:val="bottom"/>
          </w:tcPr>
          <w:p w14:paraId="2F32861D">
            <w:pPr>
              <w:widowControl/>
              <w:autoSpaceDE/>
              <w:autoSpaceDN/>
              <w:adjustRightInd/>
              <w:jc w:val="center"/>
              <w:rPr>
                <w:bCs/>
                <w:sz w:val="22"/>
                <w:szCs w:val="22"/>
              </w:rPr>
            </w:pPr>
          </w:p>
        </w:tc>
        <w:tc>
          <w:tcPr>
            <w:tcW w:w="4536" w:type="dxa"/>
            <w:tcBorders>
              <w:top w:val="single" w:color="auto" w:sz="4" w:space="0"/>
              <w:left w:val="single" w:color="auto" w:sz="4" w:space="0"/>
              <w:bottom w:val="single" w:color="auto" w:sz="4" w:space="0"/>
              <w:right w:val="single" w:color="auto" w:sz="4" w:space="0"/>
            </w:tcBorders>
            <w:noWrap/>
            <w:vAlign w:val="center"/>
          </w:tcPr>
          <w:p w14:paraId="404FD79C">
            <w:pPr>
              <w:widowControl/>
              <w:autoSpaceDE/>
              <w:autoSpaceDN/>
              <w:adjustRightInd/>
              <w:jc w:val="center"/>
              <w:rPr>
                <w:b/>
                <w:sz w:val="22"/>
                <w:szCs w:val="22"/>
              </w:rPr>
            </w:pPr>
            <w:r>
              <w:rPr>
                <w:sz w:val="24"/>
                <w:szCs w:val="24"/>
              </w:rPr>
              <w:t>Единый налог на вмененный доход для отдельных видов деятельности</w:t>
            </w:r>
          </w:p>
        </w:tc>
        <w:tc>
          <w:tcPr>
            <w:tcW w:w="1417" w:type="dxa"/>
            <w:tcBorders>
              <w:top w:val="single" w:color="auto" w:sz="4" w:space="0"/>
              <w:left w:val="single" w:color="auto" w:sz="4" w:space="0"/>
              <w:bottom w:val="single" w:color="auto" w:sz="4" w:space="0"/>
              <w:right w:val="single" w:color="auto" w:sz="4" w:space="0"/>
            </w:tcBorders>
            <w:noWrap/>
            <w:vAlign w:val="center"/>
          </w:tcPr>
          <w:p w14:paraId="520F43AD">
            <w:pPr>
              <w:widowControl/>
              <w:autoSpaceDE/>
              <w:autoSpaceDN/>
              <w:adjustRightInd/>
              <w:jc w:val="center"/>
              <w:rPr>
                <w:b/>
                <w:bCs/>
                <w:sz w:val="22"/>
                <w:szCs w:val="22"/>
              </w:rPr>
            </w:pPr>
            <w:r>
              <w:rPr>
                <w:b/>
                <w:sz w:val="22"/>
                <w:szCs w:val="22"/>
              </w:rPr>
              <w:t>2026год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2EA4330B">
            <w:pPr>
              <w:widowControl/>
              <w:autoSpaceDE/>
              <w:autoSpaceDN/>
              <w:adjustRightInd/>
              <w:jc w:val="center"/>
              <w:rPr>
                <w:b/>
                <w:bCs/>
                <w:sz w:val="22"/>
                <w:szCs w:val="22"/>
              </w:rPr>
            </w:pPr>
            <w:r>
              <w:rPr>
                <w:b/>
                <w:sz w:val="22"/>
                <w:szCs w:val="22"/>
              </w:rPr>
              <w:t>2027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6C46F5C0">
            <w:pPr>
              <w:widowControl/>
              <w:autoSpaceDE/>
              <w:autoSpaceDN/>
              <w:adjustRightInd/>
              <w:jc w:val="center"/>
              <w:rPr>
                <w:b/>
                <w:bCs/>
                <w:sz w:val="22"/>
                <w:szCs w:val="22"/>
              </w:rPr>
            </w:pPr>
            <w:r>
              <w:rPr>
                <w:b/>
                <w:sz w:val="22"/>
                <w:szCs w:val="22"/>
              </w:rPr>
              <w:t>2028 год</w:t>
            </w:r>
          </w:p>
        </w:tc>
      </w:tr>
      <w:tr w14:paraId="1557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tcBorders>
              <w:top w:val="single" w:color="auto" w:sz="4" w:space="0"/>
              <w:left w:val="single" w:color="auto" w:sz="4" w:space="0"/>
              <w:bottom w:val="single" w:color="auto" w:sz="4" w:space="0"/>
              <w:right w:val="single" w:color="auto" w:sz="4" w:space="0"/>
            </w:tcBorders>
            <w:noWrap/>
          </w:tcPr>
          <w:p w14:paraId="5A9899FA">
            <w:pPr>
              <w:widowControl/>
              <w:autoSpaceDE/>
              <w:autoSpaceDN/>
              <w:adjustRightInd/>
              <w:jc w:val="center"/>
              <w:rPr>
                <w:bCs/>
                <w:sz w:val="22"/>
                <w:szCs w:val="22"/>
              </w:rPr>
            </w:pPr>
            <w:r>
              <w:rPr>
                <w:bCs/>
                <w:sz w:val="22"/>
                <w:szCs w:val="22"/>
              </w:rPr>
              <w:t>1.</w:t>
            </w:r>
          </w:p>
        </w:tc>
        <w:tc>
          <w:tcPr>
            <w:tcW w:w="4536" w:type="dxa"/>
            <w:tcBorders>
              <w:top w:val="single" w:color="auto" w:sz="4" w:space="0"/>
              <w:left w:val="single" w:color="auto" w:sz="4" w:space="0"/>
              <w:bottom w:val="single" w:color="auto" w:sz="4" w:space="0"/>
              <w:right w:val="single" w:color="auto" w:sz="4" w:space="0"/>
            </w:tcBorders>
            <w:noWrap/>
            <w:vAlign w:val="center"/>
          </w:tcPr>
          <w:p w14:paraId="2B57DF5E">
            <w:pPr>
              <w:widowControl/>
              <w:autoSpaceDE/>
              <w:autoSpaceDN/>
              <w:adjustRightInd/>
              <w:rPr>
                <w:bCs/>
                <w:sz w:val="22"/>
                <w:szCs w:val="22"/>
              </w:rPr>
            </w:pPr>
            <w:r>
              <w:rPr>
                <w:bCs/>
                <w:sz w:val="22"/>
                <w:szCs w:val="22"/>
              </w:rPr>
              <w:t>Проект бюджета  (2026 –2028 гг.),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6520E0EE">
            <w:pPr>
              <w:widowControl/>
              <w:tabs>
                <w:tab w:val="left" w:pos="350"/>
              </w:tabs>
              <w:autoSpaceDE/>
              <w:autoSpaceDN/>
              <w:adjustRightInd/>
              <w:jc w:val="center"/>
              <w:rPr>
                <w:bCs/>
                <w:sz w:val="22"/>
                <w:szCs w:val="22"/>
              </w:rPr>
            </w:pPr>
            <w:r>
              <w:rPr>
                <w:bCs/>
                <w:sz w:val="22"/>
                <w:szCs w:val="22"/>
              </w:rPr>
              <w:t>0</w:t>
            </w:r>
          </w:p>
        </w:tc>
        <w:tc>
          <w:tcPr>
            <w:tcW w:w="1418" w:type="dxa"/>
            <w:tcBorders>
              <w:top w:val="single" w:color="auto" w:sz="4" w:space="0"/>
              <w:left w:val="single" w:color="auto" w:sz="4" w:space="0"/>
              <w:bottom w:val="single" w:color="auto" w:sz="4" w:space="0"/>
              <w:right w:val="single" w:color="auto" w:sz="4" w:space="0"/>
            </w:tcBorders>
            <w:noWrap/>
            <w:vAlign w:val="center"/>
          </w:tcPr>
          <w:p w14:paraId="3961E4C0">
            <w:pPr>
              <w:widowControl/>
              <w:autoSpaceDE/>
              <w:autoSpaceDN/>
              <w:adjustRightInd/>
              <w:jc w:val="center"/>
              <w:rPr>
                <w:bCs/>
                <w:sz w:val="22"/>
                <w:szCs w:val="22"/>
              </w:rPr>
            </w:pPr>
            <w:r>
              <w:rPr>
                <w:bCs/>
                <w:sz w:val="22"/>
                <w:szCs w:val="22"/>
              </w:rPr>
              <w:t>0</w:t>
            </w:r>
          </w:p>
        </w:tc>
        <w:tc>
          <w:tcPr>
            <w:tcW w:w="1418" w:type="dxa"/>
            <w:tcBorders>
              <w:top w:val="single" w:color="auto" w:sz="4" w:space="0"/>
              <w:left w:val="single" w:color="auto" w:sz="4" w:space="0"/>
              <w:bottom w:val="single" w:color="auto" w:sz="4" w:space="0"/>
              <w:right w:val="single" w:color="auto" w:sz="4" w:space="0"/>
            </w:tcBorders>
            <w:noWrap/>
            <w:vAlign w:val="center"/>
          </w:tcPr>
          <w:p w14:paraId="7B916EDD">
            <w:pPr>
              <w:widowControl/>
              <w:autoSpaceDE/>
              <w:autoSpaceDN/>
              <w:adjustRightInd/>
              <w:jc w:val="center"/>
              <w:rPr>
                <w:bCs/>
                <w:sz w:val="22"/>
                <w:szCs w:val="22"/>
              </w:rPr>
            </w:pPr>
            <w:r>
              <w:rPr>
                <w:bCs/>
                <w:sz w:val="22"/>
                <w:szCs w:val="22"/>
              </w:rPr>
              <w:t>0</w:t>
            </w:r>
          </w:p>
        </w:tc>
      </w:tr>
      <w:tr w14:paraId="17DB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4AB3BA65">
            <w:pPr>
              <w:widowControl/>
              <w:autoSpaceDE/>
              <w:autoSpaceDN/>
              <w:adjustRightInd/>
              <w:jc w:val="center"/>
              <w:rPr>
                <w:sz w:val="22"/>
                <w:szCs w:val="22"/>
              </w:rPr>
            </w:pPr>
            <w:r>
              <w:rPr>
                <w:sz w:val="22"/>
                <w:szCs w:val="22"/>
              </w:rPr>
              <w:t>1.1</w:t>
            </w:r>
          </w:p>
        </w:tc>
        <w:tc>
          <w:tcPr>
            <w:tcW w:w="4536" w:type="dxa"/>
            <w:tcBorders>
              <w:top w:val="single" w:color="auto" w:sz="4" w:space="0"/>
              <w:left w:val="single" w:color="auto" w:sz="4" w:space="0"/>
              <w:bottom w:val="single" w:color="auto" w:sz="4" w:space="0"/>
              <w:right w:val="single" w:color="auto" w:sz="4" w:space="0"/>
            </w:tcBorders>
            <w:noWrap/>
            <w:vAlign w:val="center"/>
          </w:tcPr>
          <w:p w14:paraId="6C0298A5">
            <w:pPr>
              <w:widowControl/>
              <w:autoSpaceDE/>
              <w:autoSpaceDN/>
              <w:adjustRightInd/>
              <w:rPr>
                <w:sz w:val="22"/>
                <w:szCs w:val="22"/>
              </w:rPr>
            </w:pPr>
            <w:r>
              <w:rPr>
                <w:sz w:val="22"/>
                <w:szCs w:val="22"/>
              </w:rPr>
              <w:t>к предыдущему году (оценка),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3AA6D79F">
            <w:pPr>
              <w:widowControl/>
              <w:autoSpaceDE/>
              <w:autoSpaceDN/>
              <w:adjustRightInd/>
              <w:jc w:val="center"/>
              <w:rPr>
                <w:sz w:val="22"/>
                <w:szCs w:val="22"/>
              </w:rPr>
            </w:pPr>
            <w:r>
              <w:rPr>
                <w:sz w:val="22"/>
                <w:szCs w:val="22"/>
              </w:rPr>
              <w:t>0</w:t>
            </w:r>
          </w:p>
        </w:tc>
        <w:tc>
          <w:tcPr>
            <w:tcW w:w="1418" w:type="dxa"/>
            <w:tcBorders>
              <w:top w:val="single" w:color="auto" w:sz="4" w:space="0"/>
              <w:left w:val="single" w:color="auto" w:sz="4" w:space="0"/>
              <w:bottom w:val="single" w:color="auto" w:sz="4" w:space="0"/>
              <w:right w:val="single" w:color="auto" w:sz="4" w:space="0"/>
            </w:tcBorders>
            <w:noWrap/>
            <w:vAlign w:val="center"/>
          </w:tcPr>
          <w:p w14:paraId="2DAAB4F9">
            <w:pPr>
              <w:widowControl/>
              <w:autoSpaceDE/>
              <w:autoSpaceDN/>
              <w:adjustRightInd/>
              <w:jc w:val="center"/>
              <w:rPr>
                <w:sz w:val="22"/>
                <w:szCs w:val="22"/>
              </w:rPr>
            </w:pPr>
            <w:r>
              <w:rPr>
                <w:rFonts w:hint="default"/>
                <w:sz w:val="22"/>
                <w:szCs w:val="22"/>
                <w:lang w:val="ru-RU"/>
              </w:rPr>
              <w:t>0</w:t>
            </w:r>
          </w:p>
        </w:tc>
        <w:tc>
          <w:tcPr>
            <w:tcW w:w="1418" w:type="dxa"/>
            <w:tcBorders>
              <w:top w:val="single" w:color="auto" w:sz="4" w:space="0"/>
              <w:left w:val="single" w:color="auto" w:sz="4" w:space="0"/>
              <w:bottom w:val="single" w:color="auto" w:sz="4" w:space="0"/>
              <w:right w:val="single" w:color="auto" w:sz="4" w:space="0"/>
            </w:tcBorders>
            <w:noWrap/>
            <w:vAlign w:val="center"/>
          </w:tcPr>
          <w:p w14:paraId="08ED6F81">
            <w:pPr>
              <w:widowControl/>
              <w:autoSpaceDE/>
              <w:autoSpaceDN/>
              <w:adjustRightInd/>
              <w:jc w:val="center"/>
              <w:rPr>
                <w:sz w:val="22"/>
                <w:szCs w:val="22"/>
              </w:rPr>
            </w:pPr>
            <w:r>
              <w:rPr>
                <w:sz w:val="22"/>
                <w:szCs w:val="22"/>
              </w:rPr>
              <w:t>0</w:t>
            </w:r>
          </w:p>
        </w:tc>
      </w:tr>
      <w:tr w14:paraId="342B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560F617B">
            <w:pPr>
              <w:widowControl/>
              <w:autoSpaceDE/>
              <w:autoSpaceDN/>
              <w:adjustRightInd/>
              <w:jc w:val="center"/>
              <w:rPr>
                <w:sz w:val="22"/>
                <w:szCs w:val="22"/>
              </w:rPr>
            </w:pPr>
            <w:r>
              <w:rPr>
                <w:sz w:val="22"/>
                <w:szCs w:val="22"/>
              </w:rPr>
              <w:t>1.2</w:t>
            </w:r>
          </w:p>
        </w:tc>
        <w:tc>
          <w:tcPr>
            <w:tcW w:w="4536" w:type="dxa"/>
            <w:tcBorders>
              <w:top w:val="single" w:color="auto" w:sz="4" w:space="0"/>
              <w:left w:val="single" w:color="auto" w:sz="4" w:space="0"/>
              <w:bottom w:val="single" w:color="auto" w:sz="4" w:space="0"/>
              <w:right w:val="single" w:color="auto" w:sz="4" w:space="0"/>
            </w:tcBorders>
            <w:noWrap/>
            <w:vAlign w:val="center"/>
          </w:tcPr>
          <w:p w14:paraId="271B9FC0">
            <w:pPr>
              <w:widowControl/>
              <w:autoSpaceDE/>
              <w:autoSpaceDN/>
              <w:adjustRightInd/>
              <w:rPr>
                <w:sz w:val="22"/>
                <w:szCs w:val="22"/>
              </w:rPr>
            </w:pPr>
            <w:r>
              <w:rPr>
                <w:sz w:val="22"/>
                <w:szCs w:val="22"/>
              </w:rPr>
              <w:t>к предыдущему  году (оценка), %</w:t>
            </w:r>
          </w:p>
        </w:tc>
        <w:tc>
          <w:tcPr>
            <w:tcW w:w="1417" w:type="dxa"/>
            <w:tcBorders>
              <w:top w:val="single" w:color="auto" w:sz="4" w:space="0"/>
              <w:left w:val="single" w:color="auto" w:sz="4" w:space="0"/>
              <w:bottom w:val="single" w:color="auto" w:sz="4" w:space="0"/>
              <w:right w:val="single" w:color="auto" w:sz="4" w:space="0"/>
            </w:tcBorders>
            <w:noWrap/>
            <w:vAlign w:val="center"/>
          </w:tcPr>
          <w:p w14:paraId="69CC4A16">
            <w:pPr>
              <w:widowControl/>
              <w:autoSpaceDE/>
              <w:autoSpaceDN/>
              <w:adjustRightInd/>
              <w:jc w:val="center"/>
              <w:rPr>
                <w:sz w:val="22"/>
                <w:szCs w:val="22"/>
              </w:rPr>
            </w:pPr>
            <w:r>
              <w:rPr>
                <w:sz w:val="22"/>
                <w:szCs w:val="22"/>
              </w:rPr>
              <w:t>100,0</w:t>
            </w:r>
          </w:p>
        </w:tc>
        <w:tc>
          <w:tcPr>
            <w:tcW w:w="1418" w:type="dxa"/>
            <w:tcBorders>
              <w:top w:val="single" w:color="auto" w:sz="4" w:space="0"/>
              <w:left w:val="single" w:color="auto" w:sz="4" w:space="0"/>
              <w:bottom w:val="single" w:color="auto" w:sz="4" w:space="0"/>
              <w:right w:val="single" w:color="auto" w:sz="4" w:space="0"/>
            </w:tcBorders>
            <w:noWrap/>
            <w:vAlign w:val="center"/>
          </w:tcPr>
          <w:p w14:paraId="5D4316D1">
            <w:pPr>
              <w:widowControl/>
              <w:autoSpaceDE/>
              <w:autoSpaceDN/>
              <w:adjustRightInd/>
              <w:jc w:val="center"/>
              <w:rPr>
                <w:sz w:val="22"/>
                <w:szCs w:val="22"/>
              </w:rPr>
            </w:pPr>
            <w:r>
              <w:rPr>
                <w:sz w:val="22"/>
                <w:szCs w:val="22"/>
                <w:lang w:val="en-US"/>
              </w:rPr>
              <w:t>x</w:t>
            </w:r>
          </w:p>
        </w:tc>
        <w:tc>
          <w:tcPr>
            <w:tcW w:w="1418" w:type="dxa"/>
            <w:tcBorders>
              <w:top w:val="single" w:color="auto" w:sz="4" w:space="0"/>
              <w:left w:val="single" w:color="auto" w:sz="4" w:space="0"/>
              <w:bottom w:val="single" w:color="auto" w:sz="4" w:space="0"/>
              <w:right w:val="single" w:color="auto" w:sz="4" w:space="0"/>
            </w:tcBorders>
            <w:noWrap/>
            <w:vAlign w:val="center"/>
          </w:tcPr>
          <w:p w14:paraId="71CF2E2F">
            <w:pPr>
              <w:widowControl/>
              <w:autoSpaceDE/>
              <w:autoSpaceDN/>
              <w:adjustRightInd/>
              <w:jc w:val="center"/>
              <w:rPr>
                <w:sz w:val="22"/>
                <w:szCs w:val="22"/>
              </w:rPr>
            </w:pPr>
            <w:r>
              <w:rPr>
                <w:sz w:val="22"/>
                <w:szCs w:val="22"/>
                <w:lang w:val="en-US"/>
              </w:rPr>
              <w:t>x</w:t>
            </w:r>
          </w:p>
        </w:tc>
      </w:tr>
      <w:tr w14:paraId="541B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17" w:type="dxa"/>
            <w:tcBorders>
              <w:top w:val="single" w:color="auto" w:sz="4" w:space="0"/>
              <w:left w:val="single" w:color="auto" w:sz="4" w:space="0"/>
              <w:bottom w:val="single" w:color="auto" w:sz="4" w:space="0"/>
              <w:right w:val="single" w:color="auto" w:sz="4" w:space="0"/>
            </w:tcBorders>
            <w:noWrap/>
          </w:tcPr>
          <w:p w14:paraId="0AC87364">
            <w:pPr>
              <w:widowControl/>
              <w:autoSpaceDE/>
              <w:autoSpaceDN/>
              <w:adjustRightInd/>
              <w:jc w:val="center"/>
              <w:rPr>
                <w:sz w:val="22"/>
                <w:szCs w:val="22"/>
              </w:rPr>
            </w:pPr>
            <w:r>
              <w:rPr>
                <w:sz w:val="22"/>
                <w:szCs w:val="22"/>
              </w:rPr>
              <w:t>2.</w:t>
            </w:r>
          </w:p>
        </w:tc>
        <w:tc>
          <w:tcPr>
            <w:tcW w:w="8789" w:type="dxa"/>
            <w:gridSpan w:val="4"/>
            <w:tcBorders>
              <w:top w:val="single" w:color="auto" w:sz="4" w:space="0"/>
              <w:left w:val="single" w:color="auto" w:sz="4" w:space="0"/>
              <w:bottom w:val="single" w:color="auto" w:sz="4" w:space="0"/>
              <w:right w:val="single" w:color="auto" w:sz="4" w:space="0"/>
            </w:tcBorders>
            <w:noWrap/>
          </w:tcPr>
          <w:p w14:paraId="46FF8843">
            <w:pPr>
              <w:widowControl/>
              <w:autoSpaceDE/>
              <w:autoSpaceDN/>
              <w:adjustRightInd/>
              <w:rPr>
                <w:sz w:val="22"/>
                <w:szCs w:val="22"/>
                <w:highlight w:val="yellow"/>
              </w:rPr>
            </w:pPr>
            <w:r>
              <w:rPr>
                <w:sz w:val="22"/>
                <w:szCs w:val="22"/>
              </w:rPr>
              <w:t>Ожидаемая оценка поступлений 20</w:t>
            </w:r>
            <w:r>
              <w:rPr>
                <w:sz w:val="22"/>
                <w:szCs w:val="22"/>
                <w:lang w:val="en-US"/>
              </w:rPr>
              <w:t>2</w:t>
            </w:r>
            <w:r>
              <w:rPr>
                <w:sz w:val="22"/>
                <w:szCs w:val="22"/>
              </w:rPr>
              <w:t>5 года</w:t>
            </w:r>
          </w:p>
        </w:tc>
      </w:tr>
      <w:tr w14:paraId="1235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36E74B24">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623A7CDE">
            <w:pPr>
              <w:widowControl/>
              <w:autoSpaceDE/>
              <w:autoSpaceDN/>
              <w:adjustRightInd/>
              <w:rPr>
                <w:sz w:val="22"/>
                <w:szCs w:val="22"/>
              </w:rPr>
            </w:pPr>
            <w:r>
              <w:rPr>
                <w:sz w:val="22"/>
                <w:szCs w:val="22"/>
              </w:rPr>
              <w:t>по данным проекта бюджета,</w:t>
            </w:r>
          </w:p>
          <w:p w14:paraId="78D533DA">
            <w:pPr>
              <w:widowControl/>
              <w:autoSpaceDE/>
              <w:autoSpaceDN/>
              <w:adjustRightInd/>
              <w:rPr>
                <w:sz w:val="22"/>
                <w:szCs w:val="22"/>
              </w:rPr>
            </w:pPr>
            <w:r>
              <w:rPr>
                <w:sz w:val="22"/>
                <w:szCs w:val="22"/>
              </w:rPr>
              <w:t>тыс. рублей</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26331EEB">
            <w:pPr>
              <w:widowControl/>
              <w:autoSpaceDE/>
              <w:autoSpaceDN/>
              <w:adjustRightInd/>
              <w:rPr>
                <w:sz w:val="22"/>
                <w:szCs w:val="22"/>
                <w:highlight w:val="yellow"/>
              </w:rPr>
            </w:pPr>
            <w:r>
              <w:rPr>
                <w:sz w:val="22"/>
                <w:szCs w:val="22"/>
              </w:rPr>
              <w:t>12,8</w:t>
            </w:r>
          </w:p>
        </w:tc>
      </w:tr>
      <w:tr w14:paraId="79DD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38D5C142">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7B63DCC3">
            <w:pPr>
              <w:widowControl/>
              <w:tabs>
                <w:tab w:val="right" w:pos="4320"/>
              </w:tabs>
              <w:autoSpaceDE/>
              <w:autoSpaceDN/>
              <w:adjustRightInd/>
              <w:rPr>
                <w:sz w:val="22"/>
                <w:szCs w:val="22"/>
              </w:rPr>
            </w:pPr>
            <w:r>
              <w:rPr>
                <w:sz w:val="22"/>
                <w:szCs w:val="22"/>
              </w:rPr>
              <w:t>Факт 2024 год</w:t>
            </w:r>
            <w:r>
              <w:rPr>
                <w:sz w:val="22"/>
                <w:szCs w:val="22"/>
              </w:rPr>
              <w:tab/>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4119123C">
            <w:pPr>
              <w:widowControl/>
              <w:autoSpaceDE/>
              <w:autoSpaceDN/>
              <w:adjustRightInd/>
              <w:rPr>
                <w:sz w:val="22"/>
                <w:szCs w:val="22"/>
              </w:rPr>
            </w:pPr>
            <w:r>
              <w:rPr>
                <w:sz w:val="22"/>
                <w:szCs w:val="22"/>
              </w:rPr>
              <w:t>27,6</w:t>
            </w:r>
          </w:p>
        </w:tc>
      </w:tr>
      <w:tr w14:paraId="719A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3E16EEF4">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10D9EA13">
            <w:pPr>
              <w:widowControl/>
              <w:autoSpaceDE/>
              <w:autoSpaceDN/>
              <w:adjustRightInd/>
              <w:rPr>
                <w:sz w:val="22"/>
                <w:szCs w:val="22"/>
              </w:rPr>
            </w:pPr>
            <w:r>
              <w:rPr>
                <w:sz w:val="22"/>
                <w:szCs w:val="22"/>
              </w:rPr>
              <w:t>Факт 2023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12F58FCE">
            <w:pPr>
              <w:widowControl/>
              <w:autoSpaceDE/>
              <w:autoSpaceDN/>
              <w:adjustRightInd/>
              <w:rPr>
                <w:sz w:val="22"/>
                <w:szCs w:val="22"/>
              </w:rPr>
            </w:pPr>
            <w:r>
              <w:rPr>
                <w:sz w:val="22"/>
                <w:szCs w:val="22"/>
              </w:rPr>
              <w:t>-192,2</w:t>
            </w:r>
          </w:p>
        </w:tc>
      </w:tr>
    </w:tbl>
    <w:p w14:paraId="30D1BF59">
      <w:pPr>
        <w:widowControl/>
        <w:autoSpaceDE/>
        <w:autoSpaceDN/>
        <w:adjustRightInd/>
        <w:spacing w:line="360" w:lineRule="auto"/>
        <w:ind w:left="142" w:firstLine="555"/>
        <w:rPr>
          <w:sz w:val="24"/>
          <w:szCs w:val="24"/>
        </w:rPr>
      </w:pPr>
      <w:r>
        <w:rPr>
          <w:sz w:val="24"/>
          <w:szCs w:val="24"/>
        </w:rPr>
        <w:t>С 1 января 2021 года система налогобложения в виде единого налога на вмененный доход (ЕНВД) не применяется (Федеральный закон от 29.06.2012 №97-ФЗ).</w:t>
      </w:r>
    </w:p>
    <w:p w14:paraId="66C9DCC9">
      <w:pPr>
        <w:widowControl/>
        <w:autoSpaceDE/>
        <w:autoSpaceDN/>
        <w:adjustRightInd/>
        <w:spacing w:line="360" w:lineRule="auto"/>
        <w:ind w:left="142" w:firstLine="555"/>
        <w:rPr>
          <w:sz w:val="24"/>
          <w:szCs w:val="24"/>
        </w:rPr>
      </w:pPr>
    </w:p>
    <w:p w14:paraId="05C4F808">
      <w:pPr>
        <w:widowControl/>
        <w:autoSpaceDE/>
        <w:autoSpaceDN/>
        <w:adjustRightInd/>
        <w:spacing w:line="360" w:lineRule="auto"/>
        <w:ind w:left="142" w:firstLine="555"/>
        <w:rPr>
          <w:sz w:val="24"/>
          <w:szCs w:val="24"/>
        </w:rPr>
      </w:pPr>
      <w:r>
        <w:rPr>
          <w:sz w:val="24"/>
          <w:szCs w:val="24"/>
        </w:rPr>
        <w:t>Динамика доходов от уплаты налога, взимаемого  в связи с применением упрощенной системы налогообложения,  в 2026-2028 годах приведена ниже в таблице:</w:t>
      </w:r>
    </w:p>
    <w:tbl>
      <w:tblPr>
        <w:tblStyle w:val="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536"/>
        <w:gridCol w:w="1417"/>
        <w:gridCol w:w="1418"/>
        <w:gridCol w:w="1418"/>
      </w:tblGrid>
      <w:tr w14:paraId="5E34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17" w:type="dxa"/>
            <w:tcBorders>
              <w:top w:val="single" w:color="auto" w:sz="4" w:space="0"/>
              <w:left w:val="single" w:color="auto" w:sz="4" w:space="0"/>
              <w:bottom w:val="single" w:color="auto" w:sz="4" w:space="0"/>
              <w:right w:val="single" w:color="auto" w:sz="4" w:space="0"/>
            </w:tcBorders>
            <w:noWrap/>
            <w:vAlign w:val="bottom"/>
          </w:tcPr>
          <w:p w14:paraId="706C02BA">
            <w:pPr>
              <w:widowControl/>
              <w:autoSpaceDE/>
              <w:autoSpaceDN/>
              <w:adjustRightInd/>
              <w:jc w:val="center"/>
              <w:rPr>
                <w:bCs/>
                <w:sz w:val="22"/>
                <w:szCs w:val="22"/>
              </w:rPr>
            </w:pPr>
          </w:p>
        </w:tc>
        <w:tc>
          <w:tcPr>
            <w:tcW w:w="4536" w:type="dxa"/>
            <w:tcBorders>
              <w:top w:val="single" w:color="auto" w:sz="4" w:space="0"/>
              <w:left w:val="single" w:color="auto" w:sz="4" w:space="0"/>
              <w:bottom w:val="single" w:color="auto" w:sz="4" w:space="0"/>
              <w:right w:val="single" w:color="auto" w:sz="4" w:space="0"/>
            </w:tcBorders>
            <w:noWrap/>
            <w:vAlign w:val="center"/>
          </w:tcPr>
          <w:p w14:paraId="7AB17FC5">
            <w:pPr>
              <w:widowControl/>
              <w:autoSpaceDE/>
              <w:autoSpaceDN/>
              <w:adjustRightInd/>
              <w:rPr>
                <w:b/>
                <w:sz w:val="22"/>
                <w:szCs w:val="22"/>
              </w:rPr>
            </w:pPr>
            <w:r>
              <w:rPr>
                <w:sz w:val="24"/>
                <w:szCs w:val="24"/>
              </w:rPr>
              <w:t>Налог, взимаемый  в связи с применением упрощенной системы налогообложения</w:t>
            </w:r>
          </w:p>
        </w:tc>
        <w:tc>
          <w:tcPr>
            <w:tcW w:w="1417" w:type="dxa"/>
            <w:tcBorders>
              <w:top w:val="single" w:color="auto" w:sz="4" w:space="0"/>
              <w:left w:val="single" w:color="auto" w:sz="4" w:space="0"/>
              <w:bottom w:val="single" w:color="auto" w:sz="4" w:space="0"/>
              <w:right w:val="single" w:color="auto" w:sz="4" w:space="0"/>
            </w:tcBorders>
            <w:noWrap/>
            <w:vAlign w:val="center"/>
          </w:tcPr>
          <w:p w14:paraId="067F9F7B">
            <w:pPr>
              <w:widowControl/>
              <w:autoSpaceDE/>
              <w:autoSpaceDN/>
              <w:adjustRightInd/>
              <w:jc w:val="center"/>
              <w:rPr>
                <w:b/>
                <w:bCs/>
                <w:sz w:val="22"/>
                <w:szCs w:val="22"/>
              </w:rPr>
            </w:pPr>
            <w:r>
              <w:rPr>
                <w:b/>
                <w:sz w:val="22"/>
                <w:szCs w:val="22"/>
              </w:rPr>
              <w:t>2026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6915EF59">
            <w:pPr>
              <w:widowControl/>
              <w:autoSpaceDE/>
              <w:autoSpaceDN/>
              <w:adjustRightInd/>
              <w:jc w:val="center"/>
              <w:rPr>
                <w:b/>
                <w:bCs/>
                <w:sz w:val="22"/>
                <w:szCs w:val="22"/>
              </w:rPr>
            </w:pPr>
            <w:r>
              <w:rPr>
                <w:b/>
                <w:sz w:val="22"/>
                <w:szCs w:val="22"/>
              </w:rPr>
              <w:t>2027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098C15FB">
            <w:pPr>
              <w:widowControl/>
              <w:autoSpaceDE/>
              <w:autoSpaceDN/>
              <w:adjustRightInd/>
              <w:jc w:val="center"/>
              <w:rPr>
                <w:b/>
                <w:bCs/>
                <w:sz w:val="22"/>
                <w:szCs w:val="22"/>
              </w:rPr>
            </w:pPr>
            <w:r>
              <w:rPr>
                <w:b/>
                <w:sz w:val="22"/>
                <w:szCs w:val="22"/>
              </w:rPr>
              <w:t>2028 год</w:t>
            </w:r>
          </w:p>
        </w:tc>
      </w:tr>
      <w:tr w14:paraId="11C5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tcBorders>
              <w:top w:val="single" w:color="auto" w:sz="4" w:space="0"/>
              <w:left w:val="single" w:color="auto" w:sz="4" w:space="0"/>
              <w:bottom w:val="single" w:color="auto" w:sz="4" w:space="0"/>
              <w:right w:val="single" w:color="auto" w:sz="4" w:space="0"/>
            </w:tcBorders>
            <w:noWrap/>
          </w:tcPr>
          <w:p w14:paraId="0BF858FB">
            <w:pPr>
              <w:widowControl/>
              <w:autoSpaceDE/>
              <w:autoSpaceDN/>
              <w:adjustRightInd/>
              <w:jc w:val="center"/>
              <w:rPr>
                <w:bCs/>
                <w:sz w:val="22"/>
                <w:szCs w:val="22"/>
              </w:rPr>
            </w:pPr>
            <w:r>
              <w:rPr>
                <w:bCs/>
                <w:sz w:val="22"/>
                <w:szCs w:val="22"/>
              </w:rPr>
              <w:t>1.</w:t>
            </w:r>
          </w:p>
        </w:tc>
        <w:tc>
          <w:tcPr>
            <w:tcW w:w="4536" w:type="dxa"/>
            <w:tcBorders>
              <w:top w:val="single" w:color="auto" w:sz="4" w:space="0"/>
              <w:left w:val="single" w:color="auto" w:sz="4" w:space="0"/>
              <w:bottom w:val="single" w:color="auto" w:sz="4" w:space="0"/>
              <w:right w:val="single" w:color="auto" w:sz="4" w:space="0"/>
            </w:tcBorders>
            <w:noWrap/>
            <w:vAlign w:val="center"/>
          </w:tcPr>
          <w:p w14:paraId="517A4E5A">
            <w:pPr>
              <w:widowControl/>
              <w:autoSpaceDE/>
              <w:autoSpaceDN/>
              <w:adjustRightInd/>
              <w:rPr>
                <w:bCs/>
                <w:sz w:val="22"/>
                <w:szCs w:val="22"/>
              </w:rPr>
            </w:pPr>
            <w:r>
              <w:rPr>
                <w:bCs/>
                <w:sz w:val="22"/>
                <w:szCs w:val="22"/>
              </w:rPr>
              <w:t>Проект бюджета  (2026 –2028 гг.),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5C1CC33C">
            <w:pPr>
              <w:widowControl/>
              <w:autoSpaceDE/>
              <w:autoSpaceDN/>
              <w:adjustRightInd/>
              <w:jc w:val="center"/>
              <w:rPr>
                <w:rFonts w:hint="default"/>
                <w:bCs/>
                <w:sz w:val="22"/>
                <w:szCs w:val="22"/>
                <w:lang w:val="ru-RU"/>
              </w:rPr>
            </w:pPr>
            <w:r>
              <w:rPr>
                <w:rFonts w:hint="default"/>
                <w:bCs/>
                <w:sz w:val="22"/>
                <w:szCs w:val="22"/>
                <w:lang w:val="ru-RU"/>
              </w:rPr>
              <w:t>5 326,3</w:t>
            </w:r>
          </w:p>
        </w:tc>
        <w:tc>
          <w:tcPr>
            <w:tcW w:w="1418" w:type="dxa"/>
            <w:tcBorders>
              <w:top w:val="single" w:color="auto" w:sz="4" w:space="0"/>
              <w:left w:val="single" w:color="auto" w:sz="4" w:space="0"/>
              <w:bottom w:val="single" w:color="auto" w:sz="4" w:space="0"/>
              <w:right w:val="single" w:color="auto" w:sz="4" w:space="0"/>
            </w:tcBorders>
            <w:noWrap/>
            <w:vAlign w:val="center"/>
          </w:tcPr>
          <w:p w14:paraId="567ACE41">
            <w:pPr>
              <w:widowControl/>
              <w:autoSpaceDE/>
              <w:autoSpaceDN/>
              <w:adjustRightInd/>
              <w:jc w:val="center"/>
              <w:rPr>
                <w:rFonts w:hint="default"/>
                <w:bCs/>
                <w:sz w:val="22"/>
                <w:szCs w:val="22"/>
                <w:lang w:val="ru-RU"/>
              </w:rPr>
            </w:pPr>
            <w:r>
              <w:rPr>
                <w:rFonts w:hint="default"/>
                <w:bCs/>
                <w:sz w:val="22"/>
                <w:szCs w:val="22"/>
                <w:lang w:val="ru-RU"/>
              </w:rPr>
              <w:t>5 703,1</w:t>
            </w:r>
          </w:p>
        </w:tc>
        <w:tc>
          <w:tcPr>
            <w:tcW w:w="1418" w:type="dxa"/>
            <w:tcBorders>
              <w:top w:val="single" w:color="auto" w:sz="4" w:space="0"/>
              <w:left w:val="single" w:color="auto" w:sz="4" w:space="0"/>
              <w:bottom w:val="single" w:color="auto" w:sz="4" w:space="0"/>
              <w:right w:val="single" w:color="auto" w:sz="4" w:space="0"/>
            </w:tcBorders>
            <w:noWrap/>
            <w:vAlign w:val="center"/>
          </w:tcPr>
          <w:p w14:paraId="40477E50">
            <w:pPr>
              <w:widowControl/>
              <w:autoSpaceDE/>
              <w:autoSpaceDN/>
              <w:adjustRightInd/>
              <w:jc w:val="center"/>
              <w:rPr>
                <w:rFonts w:hint="default"/>
                <w:bCs/>
                <w:sz w:val="22"/>
                <w:szCs w:val="22"/>
                <w:lang w:val="ru-RU"/>
              </w:rPr>
            </w:pPr>
            <w:r>
              <w:rPr>
                <w:rFonts w:hint="default"/>
                <w:bCs/>
                <w:sz w:val="22"/>
                <w:szCs w:val="22"/>
                <w:lang w:val="ru-RU"/>
              </w:rPr>
              <w:t>6 350,3</w:t>
            </w:r>
          </w:p>
        </w:tc>
      </w:tr>
      <w:tr w14:paraId="715C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63273259">
            <w:pPr>
              <w:widowControl/>
              <w:autoSpaceDE/>
              <w:autoSpaceDN/>
              <w:adjustRightInd/>
              <w:jc w:val="center"/>
              <w:rPr>
                <w:sz w:val="22"/>
                <w:szCs w:val="22"/>
              </w:rPr>
            </w:pPr>
            <w:r>
              <w:rPr>
                <w:sz w:val="22"/>
                <w:szCs w:val="22"/>
              </w:rPr>
              <w:t>1.1</w:t>
            </w:r>
          </w:p>
        </w:tc>
        <w:tc>
          <w:tcPr>
            <w:tcW w:w="4536" w:type="dxa"/>
            <w:tcBorders>
              <w:top w:val="single" w:color="auto" w:sz="4" w:space="0"/>
              <w:left w:val="single" w:color="auto" w:sz="4" w:space="0"/>
              <w:bottom w:val="single" w:color="auto" w:sz="4" w:space="0"/>
              <w:right w:val="single" w:color="auto" w:sz="4" w:space="0"/>
            </w:tcBorders>
            <w:noWrap/>
            <w:vAlign w:val="center"/>
          </w:tcPr>
          <w:p w14:paraId="71C37C7C">
            <w:pPr>
              <w:widowControl/>
              <w:autoSpaceDE/>
              <w:autoSpaceDN/>
              <w:adjustRightInd/>
              <w:rPr>
                <w:sz w:val="22"/>
                <w:szCs w:val="22"/>
              </w:rPr>
            </w:pPr>
            <w:r>
              <w:rPr>
                <w:sz w:val="22"/>
                <w:szCs w:val="22"/>
              </w:rPr>
              <w:t>к предыдущему году (оценка),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738BA06C">
            <w:pPr>
              <w:widowControl/>
              <w:autoSpaceDE/>
              <w:autoSpaceDN/>
              <w:adjustRightInd/>
              <w:jc w:val="center"/>
              <w:rPr>
                <w:rFonts w:hint="default"/>
                <w:sz w:val="22"/>
                <w:szCs w:val="22"/>
                <w:lang w:val="ru-RU"/>
              </w:rPr>
            </w:pPr>
            <w:r>
              <w:rPr>
                <w:rFonts w:hint="default"/>
                <w:sz w:val="22"/>
                <w:szCs w:val="22"/>
                <w:lang w:val="ru-RU"/>
              </w:rPr>
              <w:t>1 557,5</w:t>
            </w:r>
          </w:p>
        </w:tc>
        <w:tc>
          <w:tcPr>
            <w:tcW w:w="1418" w:type="dxa"/>
            <w:tcBorders>
              <w:top w:val="single" w:color="auto" w:sz="4" w:space="0"/>
              <w:left w:val="single" w:color="auto" w:sz="4" w:space="0"/>
              <w:bottom w:val="single" w:color="auto" w:sz="4" w:space="0"/>
              <w:right w:val="single" w:color="auto" w:sz="4" w:space="0"/>
            </w:tcBorders>
            <w:noWrap/>
            <w:vAlign w:val="center"/>
          </w:tcPr>
          <w:p w14:paraId="4E964758">
            <w:pPr>
              <w:widowControl/>
              <w:autoSpaceDE/>
              <w:autoSpaceDN/>
              <w:adjustRightInd/>
              <w:jc w:val="center"/>
              <w:rPr>
                <w:rFonts w:hint="default"/>
                <w:sz w:val="22"/>
                <w:szCs w:val="22"/>
                <w:lang w:val="ru-RU"/>
              </w:rPr>
            </w:pPr>
            <w:r>
              <w:rPr>
                <w:rFonts w:hint="default"/>
                <w:sz w:val="22"/>
                <w:szCs w:val="22"/>
                <w:lang w:val="ru-RU"/>
              </w:rPr>
              <w:t>376,3</w:t>
            </w:r>
          </w:p>
        </w:tc>
        <w:tc>
          <w:tcPr>
            <w:tcW w:w="1418" w:type="dxa"/>
            <w:tcBorders>
              <w:top w:val="single" w:color="auto" w:sz="4" w:space="0"/>
              <w:left w:val="single" w:color="auto" w:sz="4" w:space="0"/>
              <w:bottom w:val="single" w:color="auto" w:sz="4" w:space="0"/>
              <w:right w:val="single" w:color="auto" w:sz="4" w:space="0"/>
            </w:tcBorders>
            <w:noWrap/>
            <w:vAlign w:val="center"/>
          </w:tcPr>
          <w:p w14:paraId="763BDB66">
            <w:pPr>
              <w:widowControl/>
              <w:autoSpaceDE/>
              <w:autoSpaceDN/>
              <w:adjustRightInd/>
              <w:jc w:val="center"/>
              <w:rPr>
                <w:rFonts w:hint="default"/>
                <w:sz w:val="22"/>
                <w:szCs w:val="22"/>
                <w:lang w:val="ru-RU"/>
              </w:rPr>
            </w:pPr>
            <w:r>
              <w:rPr>
                <w:rFonts w:hint="default"/>
                <w:sz w:val="22"/>
                <w:szCs w:val="22"/>
                <w:lang w:val="ru-RU"/>
              </w:rPr>
              <w:t>647,2</w:t>
            </w:r>
          </w:p>
        </w:tc>
      </w:tr>
      <w:tr w14:paraId="76D5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1090DCEF">
            <w:pPr>
              <w:widowControl/>
              <w:autoSpaceDE/>
              <w:autoSpaceDN/>
              <w:adjustRightInd/>
              <w:jc w:val="center"/>
              <w:rPr>
                <w:sz w:val="22"/>
                <w:szCs w:val="22"/>
              </w:rPr>
            </w:pPr>
            <w:r>
              <w:rPr>
                <w:sz w:val="22"/>
                <w:szCs w:val="22"/>
              </w:rPr>
              <w:t>1.2</w:t>
            </w:r>
          </w:p>
        </w:tc>
        <w:tc>
          <w:tcPr>
            <w:tcW w:w="4536" w:type="dxa"/>
            <w:tcBorders>
              <w:top w:val="single" w:color="auto" w:sz="4" w:space="0"/>
              <w:left w:val="single" w:color="auto" w:sz="4" w:space="0"/>
              <w:bottom w:val="single" w:color="auto" w:sz="4" w:space="0"/>
              <w:right w:val="single" w:color="auto" w:sz="4" w:space="0"/>
            </w:tcBorders>
            <w:noWrap/>
            <w:vAlign w:val="center"/>
          </w:tcPr>
          <w:p w14:paraId="20786D4E">
            <w:pPr>
              <w:widowControl/>
              <w:autoSpaceDE/>
              <w:autoSpaceDN/>
              <w:adjustRightInd/>
              <w:rPr>
                <w:sz w:val="22"/>
                <w:szCs w:val="22"/>
              </w:rPr>
            </w:pPr>
            <w:r>
              <w:rPr>
                <w:sz w:val="22"/>
                <w:szCs w:val="22"/>
              </w:rPr>
              <w:t>к предыдущему  году (оценка), %</w:t>
            </w:r>
          </w:p>
        </w:tc>
        <w:tc>
          <w:tcPr>
            <w:tcW w:w="1417" w:type="dxa"/>
            <w:tcBorders>
              <w:top w:val="single" w:color="auto" w:sz="4" w:space="0"/>
              <w:left w:val="single" w:color="auto" w:sz="4" w:space="0"/>
              <w:bottom w:val="single" w:color="auto" w:sz="4" w:space="0"/>
              <w:right w:val="single" w:color="auto" w:sz="4" w:space="0"/>
            </w:tcBorders>
            <w:noWrap/>
            <w:vAlign w:val="center"/>
          </w:tcPr>
          <w:p w14:paraId="470610D1">
            <w:pPr>
              <w:widowControl/>
              <w:autoSpaceDE/>
              <w:autoSpaceDN/>
              <w:adjustRightInd/>
              <w:jc w:val="center"/>
              <w:rPr>
                <w:sz w:val="22"/>
                <w:szCs w:val="22"/>
              </w:rPr>
            </w:pPr>
            <w:r>
              <w:rPr>
                <w:sz w:val="22"/>
                <w:szCs w:val="22"/>
              </w:rPr>
              <w:t>79,5</w:t>
            </w:r>
          </w:p>
        </w:tc>
        <w:tc>
          <w:tcPr>
            <w:tcW w:w="1418" w:type="dxa"/>
            <w:tcBorders>
              <w:top w:val="single" w:color="auto" w:sz="4" w:space="0"/>
              <w:left w:val="single" w:color="auto" w:sz="4" w:space="0"/>
              <w:bottom w:val="single" w:color="auto" w:sz="4" w:space="0"/>
              <w:right w:val="single" w:color="auto" w:sz="4" w:space="0"/>
            </w:tcBorders>
            <w:noWrap/>
            <w:vAlign w:val="center"/>
          </w:tcPr>
          <w:p w14:paraId="4EC006B4">
            <w:pPr>
              <w:widowControl/>
              <w:autoSpaceDE/>
              <w:autoSpaceDN/>
              <w:adjustRightInd/>
              <w:jc w:val="center"/>
              <w:rPr>
                <w:rFonts w:hint="default"/>
                <w:sz w:val="22"/>
                <w:szCs w:val="22"/>
                <w:lang w:val="ru-RU"/>
              </w:rPr>
            </w:pPr>
            <w:r>
              <w:rPr>
                <w:sz w:val="22"/>
                <w:szCs w:val="22"/>
              </w:rPr>
              <w:t>10</w:t>
            </w:r>
            <w:r>
              <w:rPr>
                <w:rFonts w:hint="default"/>
                <w:sz w:val="22"/>
                <w:szCs w:val="22"/>
                <w:lang w:val="ru-RU"/>
              </w:rPr>
              <w:t>7,1</w:t>
            </w:r>
          </w:p>
        </w:tc>
        <w:tc>
          <w:tcPr>
            <w:tcW w:w="1418" w:type="dxa"/>
            <w:tcBorders>
              <w:top w:val="single" w:color="auto" w:sz="4" w:space="0"/>
              <w:left w:val="single" w:color="auto" w:sz="4" w:space="0"/>
              <w:bottom w:val="single" w:color="auto" w:sz="4" w:space="0"/>
              <w:right w:val="single" w:color="auto" w:sz="4" w:space="0"/>
            </w:tcBorders>
            <w:noWrap/>
            <w:vAlign w:val="center"/>
          </w:tcPr>
          <w:p w14:paraId="37CE0CFF">
            <w:pPr>
              <w:widowControl/>
              <w:autoSpaceDE/>
              <w:autoSpaceDN/>
              <w:adjustRightInd/>
              <w:jc w:val="center"/>
              <w:rPr>
                <w:rFonts w:hint="default"/>
                <w:sz w:val="22"/>
                <w:szCs w:val="22"/>
                <w:lang w:val="ru-RU"/>
              </w:rPr>
            </w:pPr>
            <w:r>
              <w:rPr>
                <w:rFonts w:hint="default"/>
                <w:sz w:val="22"/>
                <w:szCs w:val="22"/>
                <w:lang w:val="ru-RU"/>
              </w:rPr>
              <w:t>111,3</w:t>
            </w:r>
          </w:p>
        </w:tc>
      </w:tr>
      <w:tr w14:paraId="6F8B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17" w:type="dxa"/>
            <w:tcBorders>
              <w:top w:val="single" w:color="auto" w:sz="4" w:space="0"/>
              <w:left w:val="single" w:color="auto" w:sz="4" w:space="0"/>
              <w:bottom w:val="single" w:color="auto" w:sz="4" w:space="0"/>
              <w:right w:val="single" w:color="auto" w:sz="4" w:space="0"/>
            </w:tcBorders>
            <w:noWrap/>
          </w:tcPr>
          <w:p w14:paraId="70B00408">
            <w:pPr>
              <w:widowControl/>
              <w:autoSpaceDE/>
              <w:autoSpaceDN/>
              <w:adjustRightInd/>
              <w:jc w:val="center"/>
              <w:rPr>
                <w:sz w:val="22"/>
                <w:szCs w:val="22"/>
              </w:rPr>
            </w:pPr>
            <w:r>
              <w:rPr>
                <w:sz w:val="22"/>
                <w:szCs w:val="22"/>
              </w:rPr>
              <w:t>2.</w:t>
            </w:r>
          </w:p>
        </w:tc>
        <w:tc>
          <w:tcPr>
            <w:tcW w:w="8789" w:type="dxa"/>
            <w:gridSpan w:val="4"/>
            <w:tcBorders>
              <w:top w:val="single" w:color="auto" w:sz="4" w:space="0"/>
              <w:left w:val="single" w:color="auto" w:sz="4" w:space="0"/>
              <w:bottom w:val="single" w:color="auto" w:sz="4" w:space="0"/>
              <w:right w:val="single" w:color="auto" w:sz="4" w:space="0"/>
            </w:tcBorders>
            <w:noWrap/>
          </w:tcPr>
          <w:p w14:paraId="2B9789BD">
            <w:pPr>
              <w:widowControl/>
              <w:autoSpaceDE/>
              <w:autoSpaceDN/>
              <w:adjustRightInd/>
              <w:rPr>
                <w:sz w:val="22"/>
                <w:szCs w:val="22"/>
                <w:highlight w:val="yellow"/>
              </w:rPr>
            </w:pPr>
            <w:r>
              <w:rPr>
                <w:sz w:val="22"/>
                <w:szCs w:val="22"/>
              </w:rPr>
              <w:t>Ожидаемая оценка поступлений 20</w:t>
            </w:r>
            <w:r>
              <w:rPr>
                <w:sz w:val="22"/>
                <w:szCs w:val="22"/>
                <w:lang w:val="en-US"/>
              </w:rPr>
              <w:t>2</w:t>
            </w:r>
            <w:r>
              <w:rPr>
                <w:sz w:val="22"/>
                <w:szCs w:val="22"/>
              </w:rPr>
              <w:t>5 года</w:t>
            </w:r>
          </w:p>
        </w:tc>
      </w:tr>
      <w:tr w14:paraId="1E2D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645B2896">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1830F9B5">
            <w:pPr>
              <w:widowControl/>
              <w:autoSpaceDE/>
              <w:autoSpaceDN/>
              <w:adjustRightInd/>
              <w:rPr>
                <w:sz w:val="22"/>
                <w:szCs w:val="22"/>
              </w:rPr>
            </w:pPr>
            <w:r>
              <w:rPr>
                <w:sz w:val="22"/>
                <w:szCs w:val="22"/>
              </w:rPr>
              <w:t>по данным проекта бюджета,</w:t>
            </w:r>
          </w:p>
          <w:p w14:paraId="29E847DB">
            <w:pPr>
              <w:widowControl/>
              <w:autoSpaceDE/>
              <w:autoSpaceDN/>
              <w:adjustRightInd/>
              <w:rPr>
                <w:sz w:val="22"/>
                <w:szCs w:val="22"/>
              </w:rPr>
            </w:pPr>
            <w:r>
              <w:rPr>
                <w:sz w:val="22"/>
                <w:szCs w:val="22"/>
              </w:rPr>
              <w:t>тыс. рублей</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4F1971C0">
            <w:pPr>
              <w:widowControl/>
              <w:autoSpaceDE/>
              <w:autoSpaceDN/>
              <w:adjustRightInd/>
              <w:rPr>
                <w:sz w:val="22"/>
                <w:szCs w:val="22"/>
                <w:highlight w:val="yellow"/>
              </w:rPr>
            </w:pPr>
            <w:r>
              <w:rPr>
                <w:sz w:val="22"/>
                <w:szCs w:val="22"/>
              </w:rPr>
              <w:t>3 768,8</w:t>
            </w:r>
          </w:p>
        </w:tc>
      </w:tr>
      <w:tr w14:paraId="2171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5C482BBD">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57C2CF05">
            <w:pPr>
              <w:widowControl/>
              <w:autoSpaceDE/>
              <w:autoSpaceDN/>
              <w:adjustRightInd/>
              <w:rPr>
                <w:sz w:val="22"/>
                <w:szCs w:val="22"/>
              </w:rPr>
            </w:pPr>
            <w:r>
              <w:rPr>
                <w:sz w:val="22"/>
                <w:szCs w:val="22"/>
              </w:rPr>
              <w:t>Факт 2024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678CD917">
            <w:pPr>
              <w:widowControl/>
              <w:autoSpaceDE/>
              <w:autoSpaceDN/>
              <w:adjustRightInd/>
              <w:rPr>
                <w:sz w:val="22"/>
                <w:szCs w:val="22"/>
              </w:rPr>
            </w:pPr>
            <w:r>
              <w:rPr>
                <w:sz w:val="22"/>
                <w:szCs w:val="22"/>
              </w:rPr>
              <w:t>2 996,0</w:t>
            </w:r>
          </w:p>
        </w:tc>
      </w:tr>
      <w:tr w14:paraId="5580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1179EEA2">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0DC47C8B">
            <w:pPr>
              <w:widowControl/>
              <w:autoSpaceDE/>
              <w:autoSpaceDN/>
              <w:adjustRightInd/>
              <w:rPr>
                <w:sz w:val="22"/>
                <w:szCs w:val="22"/>
              </w:rPr>
            </w:pPr>
            <w:r>
              <w:rPr>
                <w:sz w:val="22"/>
                <w:szCs w:val="22"/>
              </w:rPr>
              <w:t>Факт 2023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45EAA31B">
            <w:pPr>
              <w:widowControl/>
              <w:autoSpaceDE/>
              <w:autoSpaceDN/>
              <w:adjustRightInd/>
              <w:rPr>
                <w:sz w:val="22"/>
                <w:szCs w:val="22"/>
              </w:rPr>
            </w:pPr>
            <w:r>
              <w:rPr>
                <w:sz w:val="22"/>
                <w:szCs w:val="22"/>
              </w:rPr>
              <w:t>1 653,3</w:t>
            </w:r>
          </w:p>
        </w:tc>
      </w:tr>
    </w:tbl>
    <w:p w14:paraId="33CEF06C">
      <w:pPr>
        <w:pStyle w:val="8"/>
        <w:shd w:val="clear" w:color="auto" w:fill="auto"/>
        <w:spacing w:before="0" w:after="0" w:line="276" w:lineRule="auto"/>
        <w:ind w:right="20" w:firstLine="567"/>
        <w:jc w:val="both"/>
        <w:rPr>
          <w:rFonts w:ascii="Times New Roman" w:hAnsi="Times New Roman"/>
          <w:sz w:val="24"/>
          <w:szCs w:val="24"/>
        </w:rPr>
      </w:pPr>
      <w:r>
        <w:rPr>
          <w:rFonts w:ascii="Times New Roman" w:hAnsi="Times New Roman"/>
          <w:sz w:val="24"/>
          <w:szCs w:val="24"/>
        </w:rPr>
        <w:t xml:space="preserve">Поступление налога, взимаемого в связи с применением упрощенной  системы налогообложения,  спрогнозирован на 2026г. в сумме </w:t>
      </w:r>
      <w:r>
        <w:rPr>
          <w:rFonts w:hint="default" w:ascii="Times New Roman" w:hAnsi="Times New Roman"/>
          <w:sz w:val="24"/>
          <w:szCs w:val="24"/>
          <w:lang w:val="ru-RU"/>
        </w:rPr>
        <w:t>5 326,3</w:t>
      </w:r>
      <w:r>
        <w:rPr>
          <w:rFonts w:ascii="Times New Roman" w:hAnsi="Times New Roman"/>
          <w:sz w:val="24"/>
          <w:szCs w:val="24"/>
        </w:rPr>
        <w:t xml:space="preserve">тыс. рублей,  на </w:t>
      </w:r>
      <w:r>
        <w:rPr>
          <w:rFonts w:hint="default" w:ascii="Times New Roman" w:hAnsi="Times New Roman"/>
          <w:sz w:val="24"/>
          <w:szCs w:val="24"/>
          <w:lang w:val="ru-RU"/>
        </w:rPr>
        <w:t>1 557,5</w:t>
      </w:r>
      <w:r>
        <w:rPr>
          <w:rFonts w:ascii="Times New Roman" w:hAnsi="Times New Roman"/>
          <w:sz w:val="24"/>
          <w:szCs w:val="24"/>
        </w:rPr>
        <w:t xml:space="preserve"> тыс. рублей </w:t>
      </w:r>
      <w:r>
        <w:rPr>
          <w:rFonts w:ascii="Times New Roman" w:hAnsi="Times New Roman"/>
          <w:sz w:val="24"/>
          <w:szCs w:val="24"/>
          <w:lang w:val="ru-RU"/>
        </w:rPr>
        <w:t>больше</w:t>
      </w:r>
      <w:r>
        <w:rPr>
          <w:rFonts w:ascii="Times New Roman" w:hAnsi="Times New Roman"/>
          <w:sz w:val="24"/>
          <w:szCs w:val="24"/>
        </w:rPr>
        <w:t xml:space="preserve">  прогноза поступления 2025 года.</w:t>
      </w:r>
    </w:p>
    <w:p w14:paraId="70113BCD">
      <w:pPr>
        <w:widowControl/>
        <w:autoSpaceDE/>
        <w:autoSpaceDN/>
        <w:adjustRightInd/>
        <w:spacing w:line="360" w:lineRule="auto"/>
        <w:ind w:left="142" w:firstLine="284"/>
        <w:rPr>
          <w:sz w:val="24"/>
          <w:szCs w:val="24"/>
        </w:rPr>
      </w:pPr>
    </w:p>
    <w:p w14:paraId="492099A0">
      <w:pPr>
        <w:widowControl/>
        <w:autoSpaceDE/>
        <w:autoSpaceDN/>
        <w:adjustRightInd/>
        <w:spacing w:line="360" w:lineRule="auto"/>
        <w:ind w:left="142" w:firstLine="284"/>
        <w:rPr>
          <w:sz w:val="24"/>
          <w:szCs w:val="24"/>
        </w:rPr>
      </w:pPr>
      <w:r>
        <w:rPr>
          <w:sz w:val="24"/>
          <w:szCs w:val="24"/>
        </w:rPr>
        <w:t>Динамика доходов от уплаты единого сельскохозяйственного налога   в 2026-2028 годах приведена ниже в таблице:</w:t>
      </w:r>
    </w:p>
    <w:tbl>
      <w:tblPr>
        <w:tblStyle w:val="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536"/>
        <w:gridCol w:w="1417"/>
        <w:gridCol w:w="1418"/>
        <w:gridCol w:w="1418"/>
      </w:tblGrid>
      <w:tr w14:paraId="7885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17" w:type="dxa"/>
            <w:tcBorders>
              <w:top w:val="single" w:color="auto" w:sz="4" w:space="0"/>
              <w:left w:val="single" w:color="auto" w:sz="4" w:space="0"/>
              <w:bottom w:val="single" w:color="auto" w:sz="4" w:space="0"/>
              <w:right w:val="single" w:color="auto" w:sz="4" w:space="0"/>
            </w:tcBorders>
            <w:noWrap/>
            <w:vAlign w:val="bottom"/>
          </w:tcPr>
          <w:p w14:paraId="02B26AC4">
            <w:pPr>
              <w:widowControl/>
              <w:autoSpaceDE/>
              <w:autoSpaceDN/>
              <w:adjustRightInd/>
              <w:jc w:val="center"/>
              <w:rPr>
                <w:bCs/>
                <w:sz w:val="22"/>
                <w:szCs w:val="22"/>
              </w:rPr>
            </w:pPr>
          </w:p>
        </w:tc>
        <w:tc>
          <w:tcPr>
            <w:tcW w:w="4536" w:type="dxa"/>
            <w:tcBorders>
              <w:top w:val="single" w:color="auto" w:sz="4" w:space="0"/>
              <w:left w:val="single" w:color="auto" w:sz="4" w:space="0"/>
              <w:bottom w:val="single" w:color="auto" w:sz="4" w:space="0"/>
              <w:right w:val="single" w:color="auto" w:sz="4" w:space="0"/>
            </w:tcBorders>
            <w:noWrap/>
            <w:vAlign w:val="center"/>
          </w:tcPr>
          <w:p w14:paraId="11B69A4D">
            <w:pPr>
              <w:widowControl/>
              <w:autoSpaceDE/>
              <w:autoSpaceDN/>
              <w:adjustRightInd/>
              <w:jc w:val="center"/>
              <w:rPr>
                <w:b/>
                <w:sz w:val="22"/>
                <w:szCs w:val="22"/>
              </w:rPr>
            </w:pPr>
            <w:r>
              <w:rPr>
                <w:sz w:val="24"/>
                <w:szCs w:val="24"/>
              </w:rPr>
              <w:t>Единый сельскохозяйственный налог</w:t>
            </w:r>
          </w:p>
        </w:tc>
        <w:tc>
          <w:tcPr>
            <w:tcW w:w="1417" w:type="dxa"/>
            <w:tcBorders>
              <w:top w:val="single" w:color="auto" w:sz="4" w:space="0"/>
              <w:left w:val="single" w:color="auto" w:sz="4" w:space="0"/>
              <w:bottom w:val="single" w:color="auto" w:sz="4" w:space="0"/>
              <w:right w:val="single" w:color="auto" w:sz="4" w:space="0"/>
            </w:tcBorders>
            <w:noWrap/>
            <w:vAlign w:val="center"/>
          </w:tcPr>
          <w:p w14:paraId="254A3F30">
            <w:pPr>
              <w:widowControl/>
              <w:autoSpaceDE/>
              <w:autoSpaceDN/>
              <w:adjustRightInd/>
              <w:jc w:val="center"/>
              <w:rPr>
                <w:b/>
                <w:bCs/>
                <w:sz w:val="22"/>
                <w:szCs w:val="22"/>
              </w:rPr>
            </w:pPr>
            <w:r>
              <w:rPr>
                <w:b/>
                <w:sz w:val="22"/>
                <w:szCs w:val="22"/>
              </w:rPr>
              <w:t>2026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2C66DC4C">
            <w:pPr>
              <w:widowControl/>
              <w:autoSpaceDE/>
              <w:autoSpaceDN/>
              <w:adjustRightInd/>
              <w:jc w:val="center"/>
              <w:rPr>
                <w:b/>
                <w:bCs/>
                <w:sz w:val="22"/>
                <w:szCs w:val="22"/>
              </w:rPr>
            </w:pPr>
            <w:r>
              <w:rPr>
                <w:b/>
                <w:sz w:val="22"/>
                <w:szCs w:val="22"/>
              </w:rPr>
              <w:t>2027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011E0A82">
            <w:pPr>
              <w:widowControl/>
              <w:autoSpaceDE/>
              <w:autoSpaceDN/>
              <w:adjustRightInd/>
              <w:jc w:val="center"/>
              <w:rPr>
                <w:b/>
                <w:bCs/>
                <w:sz w:val="22"/>
                <w:szCs w:val="22"/>
              </w:rPr>
            </w:pPr>
            <w:r>
              <w:rPr>
                <w:b/>
                <w:sz w:val="22"/>
                <w:szCs w:val="22"/>
              </w:rPr>
              <w:t>2028 год</w:t>
            </w:r>
          </w:p>
        </w:tc>
      </w:tr>
      <w:tr w14:paraId="492B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tcBorders>
              <w:top w:val="single" w:color="auto" w:sz="4" w:space="0"/>
              <w:left w:val="single" w:color="auto" w:sz="4" w:space="0"/>
              <w:bottom w:val="single" w:color="auto" w:sz="4" w:space="0"/>
              <w:right w:val="single" w:color="auto" w:sz="4" w:space="0"/>
            </w:tcBorders>
            <w:noWrap/>
          </w:tcPr>
          <w:p w14:paraId="3F512A53">
            <w:pPr>
              <w:widowControl/>
              <w:autoSpaceDE/>
              <w:autoSpaceDN/>
              <w:adjustRightInd/>
              <w:jc w:val="center"/>
              <w:rPr>
                <w:bCs/>
                <w:sz w:val="22"/>
                <w:szCs w:val="22"/>
              </w:rPr>
            </w:pPr>
            <w:r>
              <w:rPr>
                <w:bCs/>
                <w:sz w:val="22"/>
                <w:szCs w:val="22"/>
              </w:rPr>
              <w:t>1.</w:t>
            </w:r>
          </w:p>
        </w:tc>
        <w:tc>
          <w:tcPr>
            <w:tcW w:w="4536" w:type="dxa"/>
            <w:tcBorders>
              <w:top w:val="single" w:color="auto" w:sz="4" w:space="0"/>
              <w:left w:val="single" w:color="auto" w:sz="4" w:space="0"/>
              <w:bottom w:val="single" w:color="auto" w:sz="4" w:space="0"/>
              <w:right w:val="single" w:color="auto" w:sz="4" w:space="0"/>
            </w:tcBorders>
            <w:noWrap/>
            <w:vAlign w:val="center"/>
          </w:tcPr>
          <w:p w14:paraId="27D18AA5">
            <w:pPr>
              <w:widowControl/>
              <w:autoSpaceDE/>
              <w:autoSpaceDN/>
              <w:adjustRightInd/>
              <w:rPr>
                <w:bCs/>
                <w:sz w:val="22"/>
                <w:szCs w:val="22"/>
              </w:rPr>
            </w:pPr>
            <w:r>
              <w:rPr>
                <w:bCs/>
                <w:sz w:val="22"/>
                <w:szCs w:val="22"/>
              </w:rPr>
              <w:t>Проект бюджета  (2026 –2028гг.),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2CC0A346">
            <w:pPr>
              <w:widowControl/>
              <w:autoSpaceDE/>
              <w:autoSpaceDN/>
              <w:adjustRightInd/>
              <w:jc w:val="center"/>
              <w:rPr>
                <w:bCs/>
                <w:sz w:val="22"/>
                <w:szCs w:val="22"/>
              </w:rPr>
            </w:pPr>
            <w:r>
              <w:rPr>
                <w:bCs/>
                <w:sz w:val="22"/>
                <w:szCs w:val="22"/>
              </w:rPr>
              <w:t>104,0</w:t>
            </w:r>
          </w:p>
        </w:tc>
        <w:tc>
          <w:tcPr>
            <w:tcW w:w="1418" w:type="dxa"/>
            <w:tcBorders>
              <w:top w:val="single" w:color="auto" w:sz="4" w:space="0"/>
              <w:left w:val="single" w:color="auto" w:sz="4" w:space="0"/>
              <w:bottom w:val="single" w:color="auto" w:sz="4" w:space="0"/>
              <w:right w:val="single" w:color="auto" w:sz="4" w:space="0"/>
            </w:tcBorders>
            <w:noWrap/>
            <w:vAlign w:val="center"/>
          </w:tcPr>
          <w:p w14:paraId="75448B45">
            <w:pPr>
              <w:widowControl/>
              <w:autoSpaceDE/>
              <w:autoSpaceDN/>
              <w:adjustRightInd/>
              <w:jc w:val="center"/>
              <w:rPr>
                <w:bCs/>
                <w:sz w:val="22"/>
                <w:szCs w:val="22"/>
              </w:rPr>
            </w:pPr>
            <w:r>
              <w:rPr>
                <w:bCs/>
                <w:sz w:val="22"/>
                <w:szCs w:val="22"/>
              </w:rPr>
              <w:t>108,0,0</w:t>
            </w:r>
          </w:p>
        </w:tc>
        <w:tc>
          <w:tcPr>
            <w:tcW w:w="1418" w:type="dxa"/>
            <w:tcBorders>
              <w:top w:val="single" w:color="auto" w:sz="4" w:space="0"/>
              <w:left w:val="single" w:color="auto" w:sz="4" w:space="0"/>
              <w:bottom w:val="single" w:color="auto" w:sz="4" w:space="0"/>
              <w:right w:val="single" w:color="auto" w:sz="4" w:space="0"/>
            </w:tcBorders>
            <w:noWrap/>
            <w:vAlign w:val="center"/>
          </w:tcPr>
          <w:p w14:paraId="619FC3E9">
            <w:pPr>
              <w:widowControl/>
              <w:autoSpaceDE/>
              <w:autoSpaceDN/>
              <w:adjustRightInd/>
              <w:jc w:val="center"/>
              <w:rPr>
                <w:bCs/>
                <w:sz w:val="22"/>
                <w:szCs w:val="22"/>
              </w:rPr>
            </w:pPr>
            <w:r>
              <w:rPr>
                <w:bCs/>
                <w:sz w:val="22"/>
                <w:szCs w:val="22"/>
              </w:rPr>
              <w:t>111,0</w:t>
            </w:r>
          </w:p>
        </w:tc>
      </w:tr>
      <w:tr w14:paraId="7ED5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2AA22295">
            <w:pPr>
              <w:widowControl/>
              <w:autoSpaceDE/>
              <w:autoSpaceDN/>
              <w:adjustRightInd/>
              <w:jc w:val="center"/>
              <w:rPr>
                <w:sz w:val="22"/>
                <w:szCs w:val="22"/>
              </w:rPr>
            </w:pPr>
            <w:r>
              <w:rPr>
                <w:sz w:val="22"/>
                <w:szCs w:val="22"/>
              </w:rPr>
              <w:t>1.1</w:t>
            </w:r>
          </w:p>
        </w:tc>
        <w:tc>
          <w:tcPr>
            <w:tcW w:w="4536" w:type="dxa"/>
            <w:tcBorders>
              <w:top w:val="single" w:color="auto" w:sz="4" w:space="0"/>
              <w:left w:val="single" w:color="auto" w:sz="4" w:space="0"/>
              <w:bottom w:val="single" w:color="auto" w:sz="4" w:space="0"/>
              <w:right w:val="single" w:color="auto" w:sz="4" w:space="0"/>
            </w:tcBorders>
            <w:noWrap/>
            <w:vAlign w:val="center"/>
          </w:tcPr>
          <w:p w14:paraId="2915650E">
            <w:pPr>
              <w:widowControl/>
              <w:autoSpaceDE/>
              <w:autoSpaceDN/>
              <w:adjustRightInd/>
              <w:rPr>
                <w:sz w:val="22"/>
                <w:szCs w:val="22"/>
              </w:rPr>
            </w:pPr>
            <w:r>
              <w:rPr>
                <w:sz w:val="22"/>
                <w:szCs w:val="22"/>
              </w:rPr>
              <w:t>к предыдущему году (оценка),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34D28308">
            <w:pPr>
              <w:widowControl/>
              <w:autoSpaceDE/>
              <w:autoSpaceDN/>
              <w:adjustRightInd/>
              <w:jc w:val="center"/>
              <w:rPr>
                <w:sz w:val="22"/>
                <w:szCs w:val="22"/>
              </w:rPr>
            </w:pPr>
            <w:r>
              <w:rPr>
                <w:sz w:val="22"/>
                <w:szCs w:val="22"/>
              </w:rPr>
              <w:t>34,0</w:t>
            </w:r>
          </w:p>
        </w:tc>
        <w:tc>
          <w:tcPr>
            <w:tcW w:w="1418" w:type="dxa"/>
            <w:tcBorders>
              <w:top w:val="single" w:color="auto" w:sz="4" w:space="0"/>
              <w:left w:val="single" w:color="auto" w:sz="4" w:space="0"/>
              <w:bottom w:val="single" w:color="auto" w:sz="4" w:space="0"/>
              <w:right w:val="single" w:color="auto" w:sz="4" w:space="0"/>
            </w:tcBorders>
            <w:noWrap/>
            <w:vAlign w:val="center"/>
          </w:tcPr>
          <w:p w14:paraId="0AF9A58C">
            <w:pPr>
              <w:widowControl/>
              <w:autoSpaceDE/>
              <w:autoSpaceDN/>
              <w:adjustRightInd/>
              <w:jc w:val="center"/>
              <w:rPr>
                <w:sz w:val="22"/>
                <w:szCs w:val="22"/>
              </w:rPr>
            </w:pPr>
            <w:r>
              <w:rPr>
                <w:sz w:val="22"/>
                <w:szCs w:val="22"/>
              </w:rPr>
              <w:t>4,0</w:t>
            </w:r>
          </w:p>
        </w:tc>
        <w:tc>
          <w:tcPr>
            <w:tcW w:w="1418" w:type="dxa"/>
            <w:tcBorders>
              <w:top w:val="single" w:color="auto" w:sz="4" w:space="0"/>
              <w:left w:val="single" w:color="auto" w:sz="4" w:space="0"/>
              <w:bottom w:val="single" w:color="auto" w:sz="4" w:space="0"/>
              <w:right w:val="single" w:color="auto" w:sz="4" w:space="0"/>
            </w:tcBorders>
            <w:noWrap/>
            <w:vAlign w:val="center"/>
          </w:tcPr>
          <w:p w14:paraId="2650A4F5">
            <w:pPr>
              <w:widowControl/>
              <w:autoSpaceDE/>
              <w:autoSpaceDN/>
              <w:adjustRightInd/>
              <w:jc w:val="center"/>
              <w:rPr>
                <w:sz w:val="22"/>
                <w:szCs w:val="22"/>
              </w:rPr>
            </w:pPr>
            <w:r>
              <w:rPr>
                <w:sz w:val="22"/>
                <w:szCs w:val="22"/>
              </w:rPr>
              <w:t>3,0</w:t>
            </w:r>
          </w:p>
        </w:tc>
      </w:tr>
      <w:tr w14:paraId="4E53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4E8F2B32">
            <w:pPr>
              <w:widowControl/>
              <w:autoSpaceDE/>
              <w:autoSpaceDN/>
              <w:adjustRightInd/>
              <w:jc w:val="center"/>
              <w:rPr>
                <w:sz w:val="22"/>
                <w:szCs w:val="22"/>
              </w:rPr>
            </w:pPr>
            <w:r>
              <w:rPr>
                <w:sz w:val="22"/>
                <w:szCs w:val="22"/>
              </w:rPr>
              <w:t>1.2</w:t>
            </w:r>
          </w:p>
        </w:tc>
        <w:tc>
          <w:tcPr>
            <w:tcW w:w="4536" w:type="dxa"/>
            <w:tcBorders>
              <w:top w:val="single" w:color="auto" w:sz="4" w:space="0"/>
              <w:left w:val="single" w:color="auto" w:sz="4" w:space="0"/>
              <w:bottom w:val="single" w:color="auto" w:sz="4" w:space="0"/>
              <w:right w:val="single" w:color="auto" w:sz="4" w:space="0"/>
            </w:tcBorders>
            <w:noWrap/>
            <w:vAlign w:val="center"/>
          </w:tcPr>
          <w:p w14:paraId="6579077C">
            <w:pPr>
              <w:widowControl/>
              <w:autoSpaceDE/>
              <w:autoSpaceDN/>
              <w:adjustRightInd/>
              <w:rPr>
                <w:sz w:val="22"/>
                <w:szCs w:val="22"/>
              </w:rPr>
            </w:pPr>
            <w:r>
              <w:rPr>
                <w:sz w:val="22"/>
                <w:szCs w:val="22"/>
              </w:rPr>
              <w:t>к предыдущему  году (оценка), %</w:t>
            </w:r>
          </w:p>
        </w:tc>
        <w:tc>
          <w:tcPr>
            <w:tcW w:w="1417" w:type="dxa"/>
            <w:tcBorders>
              <w:top w:val="single" w:color="auto" w:sz="4" w:space="0"/>
              <w:left w:val="single" w:color="auto" w:sz="4" w:space="0"/>
              <w:bottom w:val="single" w:color="auto" w:sz="4" w:space="0"/>
              <w:right w:val="single" w:color="auto" w:sz="4" w:space="0"/>
            </w:tcBorders>
            <w:noWrap/>
            <w:vAlign w:val="center"/>
          </w:tcPr>
          <w:p w14:paraId="6F211695">
            <w:pPr>
              <w:widowControl/>
              <w:autoSpaceDE/>
              <w:autoSpaceDN/>
              <w:adjustRightInd/>
              <w:jc w:val="center"/>
              <w:rPr>
                <w:sz w:val="22"/>
                <w:szCs w:val="22"/>
              </w:rPr>
            </w:pPr>
            <w:r>
              <w:rPr>
                <w:sz w:val="22"/>
                <w:szCs w:val="22"/>
              </w:rPr>
              <w:t>148,6</w:t>
            </w:r>
          </w:p>
        </w:tc>
        <w:tc>
          <w:tcPr>
            <w:tcW w:w="1418" w:type="dxa"/>
            <w:tcBorders>
              <w:top w:val="single" w:color="auto" w:sz="4" w:space="0"/>
              <w:left w:val="single" w:color="auto" w:sz="4" w:space="0"/>
              <w:bottom w:val="single" w:color="auto" w:sz="4" w:space="0"/>
              <w:right w:val="single" w:color="auto" w:sz="4" w:space="0"/>
            </w:tcBorders>
            <w:noWrap/>
            <w:vAlign w:val="center"/>
          </w:tcPr>
          <w:p w14:paraId="636C399A">
            <w:pPr>
              <w:widowControl/>
              <w:autoSpaceDE/>
              <w:autoSpaceDN/>
              <w:adjustRightInd/>
              <w:jc w:val="center"/>
              <w:rPr>
                <w:sz w:val="22"/>
                <w:szCs w:val="22"/>
              </w:rPr>
            </w:pPr>
            <w:r>
              <w:rPr>
                <w:sz w:val="22"/>
                <w:szCs w:val="22"/>
              </w:rPr>
              <w:t>103,8</w:t>
            </w:r>
          </w:p>
        </w:tc>
        <w:tc>
          <w:tcPr>
            <w:tcW w:w="1418" w:type="dxa"/>
            <w:tcBorders>
              <w:top w:val="single" w:color="auto" w:sz="4" w:space="0"/>
              <w:left w:val="single" w:color="auto" w:sz="4" w:space="0"/>
              <w:bottom w:val="single" w:color="auto" w:sz="4" w:space="0"/>
              <w:right w:val="single" w:color="auto" w:sz="4" w:space="0"/>
            </w:tcBorders>
            <w:noWrap/>
            <w:vAlign w:val="center"/>
          </w:tcPr>
          <w:p w14:paraId="49EAC34E">
            <w:pPr>
              <w:widowControl/>
              <w:autoSpaceDE/>
              <w:autoSpaceDN/>
              <w:adjustRightInd/>
              <w:jc w:val="center"/>
              <w:rPr>
                <w:sz w:val="22"/>
                <w:szCs w:val="22"/>
              </w:rPr>
            </w:pPr>
            <w:r>
              <w:rPr>
                <w:sz w:val="22"/>
                <w:szCs w:val="22"/>
              </w:rPr>
              <w:t>106,7</w:t>
            </w:r>
          </w:p>
        </w:tc>
      </w:tr>
      <w:tr w14:paraId="32AF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17" w:type="dxa"/>
            <w:tcBorders>
              <w:top w:val="single" w:color="auto" w:sz="4" w:space="0"/>
              <w:left w:val="single" w:color="auto" w:sz="4" w:space="0"/>
              <w:bottom w:val="single" w:color="auto" w:sz="4" w:space="0"/>
              <w:right w:val="single" w:color="auto" w:sz="4" w:space="0"/>
            </w:tcBorders>
            <w:noWrap/>
          </w:tcPr>
          <w:p w14:paraId="6D93463C">
            <w:pPr>
              <w:widowControl/>
              <w:autoSpaceDE/>
              <w:autoSpaceDN/>
              <w:adjustRightInd/>
              <w:jc w:val="center"/>
              <w:rPr>
                <w:sz w:val="22"/>
                <w:szCs w:val="22"/>
              </w:rPr>
            </w:pPr>
            <w:r>
              <w:rPr>
                <w:sz w:val="22"/>
                <w:szCs w:val="22"/>
              </w:rPr>
              <w:t>2.</w:t>
            </w:r>
          </w:p>
        </w:tc>
        <w:tc>
          <w:tcPr>
            <w:tcW w:w="8789" w:type="dxa"/>
            <w:gridSpan w:val="4"/>
            <w:tcBorders>
              <w:top w:val="single" w:color="auto" w:sz="4" w:space="0"/>
              <w:left w:val="single" w:color="auto" w:sz="4" w:space="0"/>
              <w:bottom w:val="single" w:color="auto" w:sz="4" w:space="0"/>
              <w:right w:val="single" w:color="auto" w:sz="4" w:space="0"/>
            </w:tcBorders>
            <w:noWrap/>
          </w:tcPr>
          <w:p w14:paraId="45FA6987">
            <w:pPr>
              <w:widowControl/>
              <w:autoSpaceDE/>
              <w:autoSpaceDN/>
              <w:adjustRightInd/>
              <w:rPr>
                <w:sz w:val="22"/>
                <w:szCs w:val="22"/>
                <w:highlight w:val="yellow"/>
              </w:rPr>
            </w:pPr>
            <w:r>
              <w:rPr>
                <w:sz w:val="22"/>
                <w:szCs w:val="22"/>
              </w:rPr>
              <w:t>Ожидаемая оценка поступлений 20</w:t>
            </w:r>
            <w:r>
              <w:rPr>
                <w:sz w:val="22"/>
                <w:szCs w:val="22"/>
                <w:lang w:val="en-US"/>
              </w:rPr>
              <w:t>2</w:t>
            </w:r>
            <w:r>
              <w:rPr>
                <w:sz w:val="22"/>
                <w:szCs w:val="22"/>
              </w:rPr>
              <w:t>5 года</w:t>
            </w:r>
          </w:p>
        </w:tc>
      </w:tr>
      <w:tr w14:paraId="4827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0621723A">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4C27D4B1">
            <w:pPr>
              <w:widowControl/>
              <w:autoSpaceDE/>
              <w:autoSpaceDN/>
              <w:adjustRightInd/>
              <w:rPr>
                <w:sz w:val="22"/>
                <w:szCs w:val="22"/>
              </w:rPr>
            </w:pPr>
            <w:r>
              <w:rPr>
                <w:sz w:val="22"/>
                <w:szCs w:val="22"/>
              </w:rPr>
              <w:t>по данным проекта бюджета,</w:t>
            </w:r>
          </w:p>
          <w:p w14:paraId="2F1757EE">
            <w:pPr>
              <w:widowControl/>
              <w:autoSpaceDE/>
              <w:autoSpaceDN/>
              <w:adjustRightInd/>
              <w:rPr>
                <w:sz w:val="22"/>
                <w:szCs w:val="22"/>
              </w:rPr>
            </w:pPr>
            <w:r>
              <w:rPr>
                <w:sz w:val="22"/>
                <w:szCs w:val="22"/>
              </w:rPr>
              <w:t>тыс. рублей</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2D94FFD5">
            <w:pPr>
              <w:widowControl/>
              <w:autoSpaceDE/>
              <w:autoSpaceDN/>
              <w:adjustRightInd/>
              <w:rPr>
                <w:sz w:val="22"/>
                <w:szCs w:val="22"/>
                <w:highlight w:val="yellow"/>
              </w:rPr>
            </w:pPr>
            <w:r>
              <w:rPr>
                <w:sz w:val="22"/>
                <w:szCs w:val="22"/>
              </w:rPr>
              <w:t>70,0</w:t>
            </w:r>
          </w:p>
        </w:tc>
      </w:tr>
      <w:tr w14:paraId="1EF6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27F33F41">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39CE6AF1">
            <w:pPr>
              <w:widowControl/>
              <w:autoSpaceDE/>
              <w:autoSpaceDN/>
              <w:adjustRightInd/>
              <w:rPr>
                <w:sz w:val="22"/>
                <w:szCs w:val="22"/>
              </w:rPr>
            </w:pPr>
            <w:r>
              <w:rPr>
                <w:sz w:val="22"/>
                <w:szCs w:val="22"/>
              </w:rPr>
              <w:t>Факт 2024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3EE98095">
            <w:pPr>
              <w:widowControl/>
              <w:autoSpaceDE/>
              <w:autoSpaceDN/>
              <w:adjustRightInd/>
              <w:rPr>
                <w:rFonts w:hint="default"/>
                <w:sz w:val="22"/>
                <w:szCs w:val="22"/>
                <w:lang w:val="ru-RU"/>
              </w:rPr>
            </w:pPr>
            <w:r>
              <w:rPr>
                <w:rFonts w:hint="default"/>
                <w:sz w:val="22"/>
                <w:szCs w:val="22"/>
                <w:lang w:val="ru-RU"/>
              </w:rPr>
              <w:t>67,8</w:t>
            </w:r>
          </w:p>
        </w:tc>
      </w:tr>
      <w:tr w14:paraId="1CF7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79C765E4">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719CCE04">
            <w:pPr>
              <w:widowControl/>
              <w:autoSpaceDE/>
              <w:autoSpaceDN/>
              <w:adjustRightInd/>
              <w:rPr>
                <w:sz w:val="22"/>
                <w:szCs w:val="22"/>
              </w:rPr>
            </w:pPr>
            <w:r>
              <w:rPr>
                <w:sz w:val="22"/>
                <w:szCs w:val="22"/>
              </w:rPr>
              <w:t>Факт 2023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279868C4">
            <w:pPr>
              <w:widowControl/>
              <w:autoSpaceDE/>
              <w:autoSpaceDN/>
              <w:adjustRightInd/>
              <w:rPr>
                <w:rFonts w:hint="default"/>
                <w:sz w:val="22"/>
                <w:szCs w:val="22"/>
                <w:lang w:val="ru-RU"/>
              </w:rPr>
            </w:pPr>
            <w:r>
              <w:rPr>
                <w:rFonts w:hint="default"/>
                <w:sz w:val="22"/>
                <w:szCs w:val="22"/>
                <w:lang w:val="ru-RU"/>
              </w:rPr>
              <w:t>190,9</w:t>
            </w:r>
          </w:p>
        </w:tc>
      </w:tr>
    </w:tbl>
    <w:p w14:paraId="59B4411E">
      <w:pPr>
        <w:pStyle w:val="8"/>
        <w:shd w:val="clear" w:color="auto" w:fill="auto"/>
        <w:tabs>
          <w:tab w:val="left" w:pos="284"/>
          <w:tab w:val="left" w:pos="426"/>
        </w:tabs>
        <w:spacing w:before="0" w:after="0" w:line="276" w:lineRule="auto"/>
        <w:ind w:left="0" w:leftChars="0" w:right="20" w:firstLine="316" w:firstLineChars="132"/>
        <w:jc w:val="both"/>
        <w:rPr>
          <w:rFonts w:ascii="Times New Roman" w:hAnsi="Times New Roman"/>
          <w:sz w:val="24"/>
          <w:szCs w:val="24"/>
        </w:rPr>
      </w:pPr>
      <w:r>
        <w:rPr>
          <w:rFonts w:ascii="Times New Roman" w:hAnsi="Times New Roman"/>
          <w:sz w:val="24"/>
          <w:szCs w:val="24"/>
        </w:rPr>
        <w:t xml:space="preserve">Единый сельскохозяйственный налог на 2026 год запланирован в проекте  в сумме 104,0  тыс. рублей больше на 34,0 тыс.рублей относительно 2025 года. </w:t>
      </w:r>
    </w:p>
    <w:p w14:paraId="7332F92E">
      <w:pPr>
        <w:widowControl/>
        <w:autoSpaceDE/>
        <w:autoSpaceDN/>
        <w:adjustRightInd/>
        <w:spacing w:line="360" w:lineRule="auto"/>
        <w:ind w:left="142" w:firstLine="555"/>
        <w:rPr>
          <w:sz w:val="24"/>
          <w:szCs w:val="24"/>
        </w:rPr>
      </w:pPr>
    </w:p>
    <w:p w14:paraId="058E5F63">
      <w:pPr>
        <w:widowControl/>
        <w:autoSpaceDE/>
        <w:autoSpaceDN/>
        <w:adjustRightInd/>
        <w:spacing w:line="360" w:lineRule="auto"/>
        <w:ind w:left="142" w:firstLine="555"/>
        <w:rPr>
          <w:sz w:val="24"/>
          <w:szCs w:val="24"/>
        </w:rPr>
      </w:pPr>
      <w:r>
        <w:rPr>
          <w:sz w:val="24"/>
          <w:szCs w:val="24"/>
        </w:rPr>
        <w:t>Динамика доходов от уплаты  налога, взимаемого в связи с применением патентной системы налогообложения,   в 2026-2028годах приведена ниже в таблице:</w:t>
      </w:r>
    </w:p>
    <w:tbl>
      <w:tblPr>
        <w:tblStyle w:val="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536"/>
        <w:gridCol w:w="1417"/>
        <w:gridCol w:w="1418"/>
        <w:gridCol w:w="1418"/>
      </w:tblGrid>
      <w:tr w14:paraId="2744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17" w:type="dxa"/>
            <w:tcBorders>
              <w:top w:val="single" w:color="auto" w:sz="4" w:space="0"/>
              <w:left w:val="single" w:color="auto" w:sz="4" w:space="0"/>
              <w:bottom w:val="single" w:color="auto" w:sz="4" w:space="0"/>
              <w:right w:val="single" w:color="auto" w:sz="4" w:space="0"/>
            </w:tcBorders>
            <w:noWrap/>
            <w:vAlign w:val="bottom"/>
          </w:tcPr>
          <w:p w14:paraId="41EE0E3D">
            <w:pPr>
              <w:widowControl/>
              <w:autoSpaceDE/>
              <w:autoSpaceDN/>
              <w:adjustRightInd/>
              <w:jc w:val="center"/>
              <w:rPr>
                <w:bCs/>
                <w:sz w:val="22"/>
                <w:szCs w:val="22"/>
              </w:rPr>
            </w:pPr>
          </w:p>
        </w:tc>
        <w:tc>
          <w:tcPr>
            <w:tcW w:w="4536" w:type="dxa"/>
            <w:tcBorders>
              <w:top w:val="single" w:color="auto" w:sz="4" w:space="0"/>
              <w:left w:val="single" w:color="auto" w:sz="4" w:space="0"/>
              <w:bottom w:val="single" w:color="auto" w:sz="4" w:space="0"/>
              <w:right w:val="single" w:color="auto" w:sz="4" w:space="0"/>
            </w:tcBorders>
            <w:noWrap/>
            <w:vAlign w:val="center"/>
          </w:tcPr>
          <w:p w14:paraId="64A5199E">
            <w:pPr>
              <w:widowControl/>
              <w:autoSpaceDE/>
              <w:autoSpaceDN/>
              <w:adjustRightInd/>
              <w:jc w:val="center"/>
              <w:rPr>
                <w:b/>
                <w:sz w:val="22"/>
                <w:szCs w:val="22"/>
              </w:rPr>
            </w:pPr>
            <w:r>
              <w:rPr>
                <w:sz w:val="24"/>
                <w:szCs w:val="24"/>
              </w:rPr>
              <w:t xml:space="preserve">Налог, взимаемый в связи с применением патентной системы налогообложения </w:t>
            </w:r>
          </w:p>
        </w:tc>
        <w:tc>
          <w:tcPr>
            <w:tcW w:w="1417" w:type="dxa"/>
            <w:tcBorders>
              <w:top w:val="single" w:color="auto" w:sz="4" w:space="0"/>
              <w:left w:val="single" w:color="auto" w:sz="4" w:space="0"/>
              <w:bottom w:val="single" w:color="auto" w:sz="4" w:space="0"/>
              <w:right w:val="single" w:color="auto" w:sz="4" w:space="0"/>
            </w:tcBorders>
            <w:noWrap/>
            <w:vAlign w:val="center"/>
          </w:tcPr>
          <w:p w14:paraId="2CD4ABF9">
            <w:pPr>
              <w:widowControl/>
              <w:autoSpaceDE/>
              <w:autoSpaceDN/>
              <w:adjustRightInd/>
              <w:jc w:val="center"/>
              <w:rPr>
                <w:b/>
                <w:bCs/>
                <w:sz w:val="22"/>
                <w:szCs w:val="22"/>
              </w:rPr>
            </w:pPr>
            <w:r>
              <w:rPr>
                <w:b/>
                <w:sz w:val="22"/>
                <w:szCs w:val="22"/>
              </w:rPr>
              <w:t>2026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75D646AC">
            <w:pPr>
              <w:widowControl/>
              <w:autoSpaceDE/>
              <w:autoSpaceDN/>
              <w:adjustRightInd/>
              <w:jc w:val="center"/>
              <w:rPr>
                <w:b/>
                <w:bCs/>
                <w:sz w:val="22"/>
                <w:szCs w:val="22"/>
              </w:rPr>
            </w:pPr>
            <w:r>
              <w:rPr>
                <w:b/>
                <w:sz w:val="22"/>
                <w:szCs w:val="22"/>
              </w:rPr>
              <w:t>2027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38621ECF">
            <w:pPr>
              <w:widowControl/>
              <w:autoSpaceDE/>
              <w:autoSpaceDN/>
              <w:adjustRightInd/>
              <w:jc w:val="center"/>
              <w:rPr>
                <w:b/>
                <w:bCs/>
                <w:sz w:val="22"/>
                <w:szCs w:val="22"/>
              </w:rPr>
            </w:pPr>
            <w:r>
              <w:rPr>
                <w:b/>
                <w:sz w:val="22"/>
                <w:szCs w:val="22"/>
              </w:rPr>
              <w:t>2028 год</w:t>
            </w:r>
          </w:p>
        </w:tc>
      </w:tr>
      <w:tr w14:paraId="2F2D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tcBorders>
              <w:top w:val="single" w:color="auto" w:sz="4" w:space="0"/>
              <w:left w:val="single" w:color="auto" w:sz="4" w:space="0"/>
              <w:bottom w:val="single" w:color="auto" w:sz="4" w:space="0"/>
              <w:right w:val="single" w:color="auto" w:sz="4" w:space="0"/>
            </w:tcBorders>
            <w:noWrap/>
          </w:tcPr>
          <w:p w14:paraId="12D7F2DD">
            <w:pPr>
              <w:widowControl/>
              <w:autoSpaceDE/>
              <w:autoSpaceDN/>
              <w:adjustRightInd/>
              <w:jc w:val="center"/>
              <w:rPr>
                <w:bCs/>
                <w:sz w:val="22"/>
                <w:szCs w:val="22"/>
              </w:rPr>
            </w:pPr>
            <w:r>
              <w:rPr>
                <w:bCs/>
                <w:sz w:val="22"/>
                <w:szCs w:val="22"/>
              </w:rPr>
              <w:t>1.</w:t>
            </w:r>
          </w:p>
        </w:tc>
        <w:tc>
          <w:tcPr>
            <w:tcW w:w="4536" w:type="dxa"/>
            <w:tcBorders>
              <w:top w:val="single" w:color="auto" w:sz="4" w:space="0"/>
              <w:left w:val="single" w:color="auto" w:sz="4" w:space="0"/>
              <w:bottom w:val="single" w:color="auto" w:sz="4" w:space="0"/>
              <w:right w:val="single" w:color="auto" w:sz="4" w:space="0"/>
            </w:tcBorders>
            <w:noWrap/>
            <w:vAlign w:val="center"/>
          </w:tcPr>
          <w:p w14:paraId="018CB1BA">
            <w:pPr>
              <w:widowControl/>
              <w:autoSpaceDE/>
              <w:autoSpaceDN/>
              <w:adjustRightInd/>
              <w:rPr>
                <w:bCs/>
                <w:sz w:val="22"/>
                <w:szCs w:val="22"/>
              </w:rPr>
            </w:pPr>
            <w:r>
              <w:rPr>
                <w:bCs/>
                <w:sz w:val="22"/>
                <w:szCs w:val="22"/>
              </w:rPr>
              <w:t>Проект бюджета  (2026–2028 гг.),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0D8ACAD8">
            <w:pPr>
              <w:widowControl/>
              <w:autoSpaceDE/>
              <w:autoSpaceDN/>
              <w:adjustRightInd/>
              <w:jc w:val="center"/>
              <w:rPr>
                <w:bCs/>
                <w:sz w:val="22"/>
                <w:szCs w:val="22"/>
              </w:rPr>
            </w:pPr>
            <w:r>
              <w:rPr>
                <w:bCs/>
                <w:sz w:val="22"/>
                <w:szCs w:val="22"/>
              </w:rPr>
              <w:t>2 100,0</w:t>
            </w:r>
          </w:p>
        </w:tc>
        <w:tc>
          <w:tcPr>
            <w:tcW w:w="1418" w:type="dxa"/>
            <w:tcBorders>
              <w:top w:val="single" w:color="auto" w:sz="4" w:space="0"/>
              <w:left w:val="single" w:color="auto" w:sz="4" w:space="0"/>
              <w:bottom w:val="single" w:color="auto" w:sz="4" w:space="0"/>
              <w:right w:val="single" w:color="auto" w:sz="4" w:space="0"/>
            </w:tcBorders>
            <w:noWrap/>
            <w:vAlign w:val="center"/>
          </w:tcPr>
          <w:p w14:paraId="209482A2">
            <w:pPr>
              <w:widowControl/>
              <w:autoSpaceDE/>
              <w:autoSpaceDN/>
              <w:adjustRightInd/>
              <w:jc w:val="center"/>
              <w:rPr>
                <w:bCs/>
                <w:sz w:val="22"/>
                <w:szCs w:val="22"/>
              </w:rPr>
            </w:pPr>
            <w:r>
              <w:rPr>
                <w:bCs/>
                <w:sz w:val="22"/>
                <w:szCs w:val="22"/>
              </w:rPr>
              <w:t>1 850,0</w:t>
            </w:r>
          </w:p>
        </w:tc>
        <w:tc>
          <w:tcPr>
            <w:tcW w:w="1418" w:type="dxa"/>
            <w:tcBorders>
              <w:top w:val="single" w:color="auto" w:sz="4" w:space="0"/>
              <w:left w:val="single" w:color="auto" w:sz="4" w:space="0"/>
              <w:bottom w:val="single" w:color="auto" w:sz="4" w:space="0"/>
              <w:right w:val="single" w:color="auto" w:sz="4" w:space="0"/>
            </w:tcBorders>
            <w:noWrap/>
            <w:vAlign w:val="center"/>
          </w:tcPr>
          <w:p w14:paraId="7C644EBC">
            <w:pPr>
              <w:widowControl/>
              <w:autoSpaceDE/>
              <w:autoSpaceDN/>
              <w:adjustRightInd/>
              <w:jc w:val="center"/>
              <w:rPr>
                <w:bCs/>
                <w:sz w:val="22"/>
                <w:szCs w:val="22"/>
              </w:rPr>
            </w:pPr>
            <w:r>
              <w:rPr>
                <w:bCs/>
                <w:sz w:val="22"/>
                <w:szCs w:val="22"/>
              </w:rPr>
              <w:t>1 850,0</w:t>
            </w:r>
          </w:p>
        </w:tc>
      </w:tr>
      <w:tr w14:paraId="5E6E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01C47567">
            <w:pPr>
              <w:widowControl/>
              <w:autoSpaceDE/>
              <w:autoSpaceDN/>
              <w:adjustRightInd/>
              <w:jc w:val="center"/>
              <w:rPr>
                <w:sz w:val="22"/>
                <w:szCs w:val="22"/>
              </w:rPr>
            </w:pPr>
            <w:r>
              <w:rPr>
                <w:sz w:val="22"/>
                <w:szCs w:val="22"/>
              </w:rPr>
              <w:t>1.1</w:t>
            </w:r>
          </w:p>
        </w:tc>
        <w:tc>
          <w:tcPr>
            <w:tcW w:w="4536" w:type="dxa"/>
            <w:tcBorders>
              <w:top w:val="single" w:color="auto" w:sz="4" w:space="0"/>
              <w:left w:val="single" w:color="auto" w:sz="4" w:space="0"/>
              <w:bottom w:val="single" w:color="auto" w:sz="4" w:space="0"/>
              <w:right w:val="single" w:color="auto" w:sz="4" w:space="0"/>
            </w:tcBorders>
            <w:noWrap/>
            <w:vAlign w:val="center"/>
          </w:tcPr>
          <w:p w14:paraId="68D8A085">
            <w:pPr>
              <w:widowControl/>
              <w:autoSpaceDE/>
              <w:autoSpaceDN/>
              <w:adjustRightInd/>
              <w:rPr>
                <w:sz w:val="22"/>
                <w:szCs w:val="22"/>
              </w:rPr>
            </w:pPr>
            <w:r>
              <w:rPr>
                <w:sz w:val="22"/>
                <w:szCs w:val="22"/>
              </w:rPr>
              <w:t>к предыдущему году (оценка),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5992FFAF">
            <w:pPr>
              <w:widowControl/>
              <w:autoSpaceDE/>
              <w:autoSpaceDN/>
              <w:adjustRightInd/>
              <w:jc w:val="center"/>
              <w:rPr>
                <w:sz w:val="22"/>
                <w:szCs w:val="22"/>
              </w:rPr>
            </w:pPr>
            <w:r>
              <w:rPr>
                <w:sz w:val="22"/>
                <w:szCs w:val="22"/>
              </w:rPr>
              <w:t>-142,8</w:t>
            </w:r>
          </w:p>
        </w:tc>
        <w:tc>
          <w:tcPr>
            <w:tcW w:w="1418" w:type="dxa"/>
            <w:tcBorders>
              <w:top w:val="single" w:color="auto" w:sz="4" w:space="0"/>
              <w:left w:val="single" w:color="auto" w:sz="4" w:space="0"/>
              <w:bottom w:val="single" w:color="auto" w:sz="4" w:space="0"/>
              <w:right w:val="single" w:color="auto" w:sz="4" w:space="0"/>
            </w:tcBorders>
            <w:noWrap/>
            <w:vAlign w:val="center"/>
          </w:tcPr>
          <w:p w14:paraId="7767C698">
            <w:pPr>
              <w:widowControl/>
              <w:autoSpaceDE/>
              <w:autoSpaceDN/>
              <w:adjustRightInd/>
              <w:jc w:val="center"/>
              <w:rPr>
                <w:sz w:val="22"/>
                <w:szCs w:val="22"/>
              </w:rPr>
            </w:pPr>
            <w:r>
              <w:rPr>
                <w:sz w:val="22"/>
                <w:szCs w:val="22"/>
              </w:rPr>
              <w:t>-250,0</w:t>
            </w:r>
          </w:p>
        </w:tc>
        <w:tc>
          <w:tcPr>
            <w:tcW w:w="1418" w:type="dxa"/>
            <w:tcBorders>
              <w:top w:val="single" w:color="auto" w:sz="4" w:space="0"/>
              <w:left w:val="single" w:color="auto" w:sz="4" w:space="0"/>
              <w:bottom w:val="single" w:color="auto" w:sz="4" w:space="0"/>
              <w:right w:val="single" w:color="auto" w:sz="4" w:space="0"/>
            </w:tcBorders>
            <w:noWrap/>
            <w:vAlign w:val="center"/>
          </w:tcPr>
          <w:p w14:paraId="633AB63E">
            <w:pPr>
              <w:widowControl/>
              <w:autoSpaceDE/>
              <w:autoSpaceDN/>
              <w:adjustRightInd/>
              <w:jc w:val="center"/>
              <w:rPr>
                <w:sz w:val="22"/>
                <w:szCs w:val="22"/>
              </w:rPr>
            </w:pPr>
            <w:r>
              <w:rPr>
                <w:sz w:val="22"/>
                <w:szCs w:val="22"/>
              </w:rPr>
              <w:t>0</w:t>
            </w:r>
          </w:p>
        </w:tc>
      </w:tr>
      <w:tr w14:paraId="4D93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4B7E0735">
            <w:pPr>
              <w:widowControl/>
              <w:autoSpaceDE/>
              <w:autoSpaceDN/>
              <w:adjustRightInd/>
              <w:jc w:val="center"/>
              <w:rPr>
                <w:sz w:val="22"/>
                <w:szCs w:val="22"/>
              </w:rPr>
            </w:pPr>
            <w:r>
              <w:rPr>
                <w:sz w:val="22"/>
                <w:szCs w:val="22"/>
              </w:rPr>
              <w:t>1.2</w:t>
            </w:r>
          </w:p>
        </w:tc>
        <w:tc>
          <w:tcPr>
            <w:tcW w:w="4536" w:type="dxa"/>
            <w:tcBorders>
              <w:top w:val="single" w:color="auto" w:sz="4" w:space="0"/>
              <w:left w:val="single" w:color="auto" w:sz="4" w:space="0"/>
              <w:bottom w:val="single" w:color="auto" w:sz="4" w:space="0"/>
              <w:right w:val="single" w:color="auto" w:sz="4" w:space="0"/>
            </w:tcBorders>
            <w:noWrap/>
            <w:vAlign w:val="center"/>
          </w:tcPr>
          <w:p w14:paraId="3CE76CB9">
            <w:pPr>
              <w:widowControl/>
              <w:autoSpaceDE/>
              <w:autoSpaceDN/>
              <w:adjustRightInd/>
              <w:rPr>
                <w:sz w:val="22"/>
                <w:szCs w:val="22"/>
              </w:rPr>
            </w:pPr>
            <w:r>
              <w:rPr>
                <w:sz w:val="22"/>
                <w:szCs w:val="22"/>
              </w:rPr>
              <w:t>к предыдущему  году (оценка), %</w:t>
            </w:r>
          </w:p>
        </w:tc>
        <w:tc>
          <w:tcPr>
            <w:tcW w:w="1417" w:type="dxa"/>
            <w:tcBorders>
              <w:top w:val="single" w:color="auto" w:sz="4" w:space="0"/>
              <w:left w:val="single" w:color="auto" w:sz="4" w:space="0"/>
              <w:bottom w:val="single" w:color="auto" w:sz="4" w:space="0"/>
              <w:right w:val="single" w:color="auto" w:sz="4" w:space="0"/>
            </w:tcBorders>
            <w:noWrap/>
            <w:vAlign w:val="center"/>
          </w:tcPr>
          <w:p w14:paraId="1542C156">
            <w:pPr>
              <w:widowControl/>
              <w:autoSpaceDE/>
              <w:autoSpaceDN/>
              <w:adjustRightInd/>
              <w:ind w:firstLine="440" w:firstLineChars="200"/>
              <w:rPr>
                <w:sz w:val="22"/>
                <w:szCs w:val="22"/>
              </w:rPr>
            </w:pPr>
            <w:r>
              <w:rPr>
                <w:sz w:val="22"/>
                <w:szCs w:val="22"/>
              </w:rPr>
              <w:t>93,6</w:t>
            </w:r>
          </w:p>
        </w:tc>
        <w:tc>
          <w:tcPr>
            <w:tcW w:w="1418" w:type="dxa"/>
            <w:tcBorders>
              <w:top w:val="single" w:color="auto" w:sz="4" w:space="0"/>
              <w:left w:val="single" w:color="auto" w:sz="4" w:space="0"/>
              <w:bottom w:val="single" w:color="auto" w:sz="4" w:space="0"/>
              <w:right w:val="single" w:color="auto" w:sz="4" w:space="0"/>
            </w:tcBorders>
            <w:noWrap/>
            <w:vAlign w:val="center"/>
          </w:tcPr>
          <w:p w14:paraId="3CFFC8B3">
            <w:pPr>
              <w:widowControl/>
              <w:autoSpaceDE/>
              <w:autoSpaceDN/>
              <w:adjustRightInd/>
              <w:jc w:val="center"/>
              <w:rPr>
                <w:sz w:val="22"/>
                <w:szCs w:val="22"/>
              </w:rPr>
            </w:pPr>
            <w:r>
              <w:rPr>
                <w:sz w:val="22"/>
                <w:szCs w:val="22"/>
              </w:rPr>
              <w:t>88,1</w:t>
            </w:r>
          </w:p>
        </w:tc>
        <w:tc>
          <w:tcPr>
            <w:tcW w:w="1418" w:type="dxa"/>
            <w:tcBorders>
              <w:top w:val="single" w:color="auto" w:sz="4" w:space="0"/>
              <w:left w:val="single" w:color="auto" w:sz="4" w:space="0"/>
              <w:bottom w:val="single" w:color="auto" w:sz="4" w:space="0"/>
              <w:right w:val="single" w:color="auto" w:sz="4" w:space="0"/>
            </w:tcBorders>
            <w:noWrap/>
            <w:vAlign w:val="center"/>
          </w:tcPr>
          <w:p w14:paraId="3BC3474E">
            <w:pPr>
              <w:widowControl/>
              <w:autoSpaceDE/>
              <w:autoSpaceDN/>
              <w:adjustRightInd/>
              <w:jc w:val="center"/>
              <w:rPr>
                <w:sz w:val="22"/>
                <w:szCs w:val="22"/>
              </w:rPr>
            </w:pPr>
            <w:r>
              <w:rPr>
                <w:sz w:val="22"/>
                <w:szCs w:val="22"/>
              </w:rPr>
              <w:t>100,0</w:t>
            </w:r>
          </w:p>
        </w:tc>
      </w:tr>
      <w:tr w14:paraId="2CF9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17" w:type="dxa"/>
            <w:tcBorders>
              <w:top w:val="single" w:color="auto" w:sz="4" w:space="0"/>
              <w:left w:val="single" w:color="auto" w:sz="4" w:space="0"/>
              <w:bottom w:val="single" w:color="auto" w:sz="4" w:space="0"/>
              <w:right w:val="single" w:color="auto" w:sz="4" w:space="0"/>
            </w:tcBorders>
            <w:noWrap/>
          </w:tcPr>
          <w:p w14:paraId="27B336F8">
            <w:pPr>
              <w:widowControl/>
              <w:autoSpaceDE/>
              <w:autoSpaceDN/>
              <w:adjustRightInd/>
              <w:jc w:val="center"/>
              <w:rPr>
                <w:sz w:val="22"/>
                <w:szCs w:val="22"/>
              </w:rPr>
            </w:pPr>
            <w:r>
              <w:rPr>
                <w:sz w:val="22"/>
                <w:szCs w:val="22"/>
              </w:rPr>
              <w:t>2.</w:t>
            </w:r>
          </w:p>
        </w:tc>
        <w:tc>
          <w:tcPr>
            <w:tcW w:w="8789" w:type="dxa"/>
            <w:gridSpan w:val="4"/>
            <w:tcBorders>
              <w:top w:val="single" w:color="auto" w:sz="4" w:space="0"/>
              <w:left w:val="single" w:color="auto" w:sz="4" w:space="0"/>
              <w:bottom w:val="single" w:color="auto" w:sz="4" w:space="0"/>
              <w:right w:val="single" w:color="auto" w:sz="4" w:space="0"/>
            </w:tcBorders>
            <w:noWrap/>
          </w:tcPr>
          <w:p w14:paraId="21509F3D">
            <w:pPr>
              <w:widowControl/>
              <w:autoSpaceDE/>
              <w:autoSpaceDN/>
              <w:adjustRightInd/>
              <w:rPr>
                <w:sz w:val="22"/>
                <w:szCs w:val="22"/>
                <w:highlight w:val="yellow"/>
              </w:rPr>
            </w:pPr>
            <w:r>
              <w:rPr>
                <w:sz w:val="22"/>
                <w:szCs w:val="22"/>
              </w:rPr>
              <w:t>Ожидаемая оценка поступлений 20</w:t>
            </w:r>
            <w:r>
              <w:rPr>
                <w:sz w:val="22"/>
                <w:szCs w:val="22"/>
                <w:lang w:val="en-US"/>
              </w:rPr>
              <w:t>2</w:t>
            </w:r>
            <w:r>
              <w:rPr>
                <w:sz w:val="22"/>
                <w:szCs w:val="22"/>
              </w:rPr>
              <w:t>5 года</w:t>
            </w:r>
          </w:p>
        </w:tc>
      </w:tr>
      <w:tr w14:paraId="38AC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001B4077">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3084D5F8">
            <w:pPr>
              <w:widowControl/>
              <w:autoSpaceDE/>
              <w:autoSpaceDN/>
              <w:adjustRightInd/>
              <w:rPr>
                <w:sz w:val="22"/>
                <w:szCs w:val="22"/>
              </w:rPr>
            </w:pPr>
            <w:r>
              <w:rPr>
                <w:sz w:val="22"/>
                <w:szCs w:val="22"/>
              </w:rPr>
              <w:t>по данным проекта бюджета,</w:t>
            </w:r>
          </w:p>
          <w:p w14:paraId="73116289">
            <w:pPr>
              <w:widowControl/>
              <w:autoSpaceDE/>
              <w:autoSpaceDN/>
              <w:adjustRightInd/>
              <w:rPr>
                <w:sz w:val="22"/>
                <w:szCs w:val="22"/>
              </w:rPr>
            </w:pPr>
            <w:r>
              <w:rPr>
                <w:sz w:val="22"/>
                <w:szCs w:val="22"/>
              </w:rPr>
              <w:t>тыс. рублей</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7CFE0904">
            <w:pPr>
              <w:widowControl/>
              <w:autoSpaceDE/>
              <w:autoSpaceDN/>
              <w:adjustRightInd/>
              <w:rPr>
                <w:sz w:val="22"/>
                <w:szCs w:val="22"/>
                <w:highlight w:val="yellow"/>
              </w:rPr>
            </w:pPr>
            <w:r>
              <w:rPr>
                <w:sz w:val="22"/>
                <w:szCs w:val="22"/>
              </w:rPr>
              <w:t>2 242,8</w:t>
            </w:r>
          </w:p>
        </w:tc>
      </w:tr>
      <w:tr w14:paraId="695B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5CA7109A">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1034CD99">
            <w:pPr>
              <w:widowControl/>
              <w:autoSpaceDE/>
              <w:autoSpaceDN/>
              <w:adjustRightInd/>
              <w:rPr>
                <w:sz w:val="22"/>
                <w:szCs w:val="22"/>
              </w:rPr>
            </w:pPr>
            <w:r>
              <w:rPr>
                <w:sz w:val="22"/>
                <w:szCs w:val="22"/>
              </w:rPr>
              <w:t>Факт 2024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54C01E67">
            <w:pPr>
              <w:widowControl/>
              <w:autoSpaceDE/>
              <w:autoSpaceDN/>
              <w:adjustRightInd/>
              <w:rPr>
                <w:sz w:val="22"/>
                <w:szCs w:val="22"/>
              </w:rPr>
            </w:pPr>
            <w:r>
              <w:rPr>
                <w:sz w:val="22"/>
                <w:szCs w:val="22"/>
              </w:rPr>
              <w:t>1 613,2</w:t>
            </w:r>
          </w:p>
        </w:tc>
      </w:tr>
      <w:tr w14:paraId="52BA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6C0B134F">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7FF0A1A6">
            <w:pPr>
              <w:widowControl/>
              <w:autoSpaceDE/>
              <w:autoSpaceDN/>
              <w:adjustRightInd/>
              <w:rPr>
                <w:sz w:val="22"/>
                <w:szCs w:val="22"/>
              </w:rPr>
            </w:pPr>
            <w:r>
              <w:rPr>
                <w:sz w:val="22"/>
                <w:szCs w:val="22"/>
              </w:rPr>
              <w:t>Факт 2023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4D76697F">
            <w:pPr>
              <w:widowControl/>
              <w:autoSpaceDE/>
              <w:autoSpaceDN/>
              <w:adjustRightInd/>
              <w:rPr>
                <w:sz w:val="22"/>
                <w:szCs w:val="22"/>
              </w:rPr>
            </w:pPr>
            <w:r>
              <w:rPr>
                <w:sz w:val="22"/>
                <w:szCs w:val="22"/>
              </w:rPr>
              <w:t xml:space="preserve"> 795,8</w:t>
            </w:r>
          </w:p>
        </w:tc>
      </w:tr>
    </w:tbl>
    <w:p w14:paraId="44D00052">
      <w:pPr>
        <w:pStyle w:val="8"/>
        <w:shd w:val="clear" w:color="auto" w:fill="auto"/>
        <w:spacing w:before="0" w:after="0" w:line="276" w:lineRule="auto"/>
        <w:ind w:right="20" w:firstLine="567"/>
        <w:jc w:val="both"/>
        <w:rPr>
          <w:rFonts w:ascii="Times New Roman" w:hAnsi="Times New Roman"/>
          <w:sz w:val="24"/>
          <w:szCs w:val="24"/>
        </w:rPr>
      </w:pPr>
    </w:p>
    <w:p w14:paraId="7AA92978">
      <w:pPr>
        <w:pStyle w:val="8"/>
        <w:shd w:val="clear" w:color="auto" w:fill="auto"/>
        <w:spacing w:before="0" w:after="0" w:line="276" w:lineRule="auto"/>
        <w:ind w:right="20" w:firstLine="426"/>
        <w:jc w:val="both"/>
        <w:rPr>
          <w:rFonts w:ascii="Times New Roman" w:hAnsi="Times New Roman"/>
          <w:sz w:val="24"/>
          <w:szCs w:val="24"/>
        </w:rPr>
      </w:pPr>
      <w:r>
        <w:rPr>
          <w:rFonts w:ascii="Times New Roman" w:hAnsi="Times New Roman"/>
          <w:sz w:val="24"/>
          <w:szCs w:val="24"/>
        </w:rPr>
        <w:t xml:space="preserve"> Доходы от уплаты  налога, взимаемого в связи с применением патентной системы налогообложения, в проекте  на 2026 год запланированы в сумме 2 100,0 тыс.рублей, что на 142,8 тыс. рублей меньше ,чем ожидаемое исполнение 2025 года.</w:t>
      </w:r>
    </w:p>
    <w:p w14:paraId="46A8DF13">
      <w:pPr>
        <w:pStyle w:val="8"/>
        <w:shd w:val="clear" w:color="auto" w:fill="auto"/>
        <w:spacing w:before="0" w:after="0" w:line="276" w:lineRule="auto"/>
        <w:ind w:right="20" w:firstLine="567"/>
        <w:jc w:val="both"/>
        <w:rPr>
          <w:rFonts w:ascii="Times New Roman" w:hAnsi="Times New Roman"/>
          <w:sz w:val="24"/>
          <w:szCs w:val="24"/>
        </w:rPr>
      </w:pPr>
    </w:p>
    <w:p w14:paraId="5782A6C1">
      <w:pPr>
        <w:widowControl/>
        <w:autoSpaceDE/>
        <w:autoSpaceDN/>
        <w:adjustRightInd/>
        <w:spacing w:line="360" w:lineRule="auto"/>
        <w:ind w:left="142" w:firstLine="555"/>
        <w:rPr>
          <w:sz w:val="24"/>
          <w:szCs w:val="24"/>
        </w:rPr>
      </w:pPr>
      <w:r>
        <w:rPr>
          <w:sz w:val="24"/>
          <w:szCs w:val="24"/>
        </w:rPr>
        <w:t>Динамика доходов от уплаты  государственной пошлины   в 2026-2028 годах приведена ниже в таблице:</w:t>
      </w:r>
    </w:p>
    <w:tbl>
      <w:tblPr>
        <w:tblStyle w:val="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536"/>
        <w:gridCol w:w="1417"/>
        <w:gridCol w:w="1418"/>
        <w:gridCol w:w="1418"/>
      </w:tblGrid>
      <w:tr w14:paraId="16C1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17" w:type="dxa"/>
            <w:tcBorders>
              <w:top w:val="single" w:color="auto" w:sz="4" w:space="0"/>
              <w:left w:val="single" w:color="auto" w:sz="4" w:space="0"/>
              <w:bottom w:val="single" w:color="auto" w:sz="4" w:space="0"/>
              <w:right w:val="single" w:color="auto" w:sz="4" w:space="0"/>
            </w:tcBorders>
            <w:noWrap/>
            <w:vAlign w:val="bottom"/>
          </w:tcPr>
          <w:p w14:paraId="4A44258F">
            <w:pPr>
              <w:widowControl/>
              <w:autoSpaceDE/>
              <w:autoSpaceDN/>
              <w:adjustRightInd/>
              <w:jc w:val="center"/>
              <w:rPr>
                <w:bCs/>
                <w:sz w:val="22"/>
                <w:szCs w:val="22"/>
              </w:rPr>
            </w:pPr>
          </w:p>
        </w:tc>
        <w:tc>
          <w:tcPr>
            <w:tcW w:w="4536" w:type="dxa"/>
            <w:tcBorders>
              <w:top w:val="single" w:color="auto" w:sz="4" w:space="0"/>
              <w:left w:val="single" w:color="auto" w:sz="4" w:space="0"/>
              <w:bottom w:val="single" w:color="auto" w:sz="4" w:space="0"/>
              <w:right w:val="single" w:color="auto" w:sz="4" w:space="0"/>
            </w:tcBorders>
            <w:noWrap/>
            <w:vAlign w:val="center"/>
          </w:tcPr>
          <w:p w14:paraId="3361CAEC">
            <w:pPr>
              <w:widowControl/>
              <w:autoSpaceDE/>
              <w:autoSpaceDN/>
              <w:adjustRightInd/>
              <w:jc w:val="center"/>
              <w:rPr>
                <w:b/>
                <w:sz w:val="22"/>
                <w:szCs w:val="22"/>
              </w:rPr>
            </w:pPr>
            <w:r>
              <w:rPr>
                <w:sz w:val="24"/>
                <w:szCs w:val="24"/>
              </w:rPr>
              <w:t xml:space="preserve">  Государственная пошлина</w:t>
            </w:r>
          </w:p>
        </w:tc>
        <w:tc>
          <w:tcPr>
            <w:tcW w:w="1417" w:type="dxa"/>
            <w:tcBorders>
              <w:top w:val="single" w:color="auto" w:sz="4" w:space="0"/>
              <w:left w:val="single" w:color="auto" w:sz="4" w:space="0"/>
              <w:bottom w:val="single" w:color="auto" w:sz="4" w:space="0"/>
              <w:right w:val="single" w:color="auto" w:sz="4" w:space="0"/>
            </w:tcBorders>
            <w:noWrap/>
            <w:vAlign w:val="center"/>
          </w:tcPr>
          <w:p w14:paraId="49B28FC2">
            <w:pPr>
              <w:widowControl/>
              <w:autoSpaceDE/>
              <w:autoSpaceDN/>
              <w:adjustRightInd/>
              <w:jc w:val="center"/>
              <w:rPr>
                <w:b/>
                <w:bCs/>
                <w:sz w:val="22"/>
                <w:szCs w:val="22"/>
              </w:rPr>
            </w:pPr>
            <w:r>
              <w:rPr>
                <w:b/>
                <w:sz w:val="22"/>
                <w:szCs w:val="22"/>
              </w:rPr>
              <w:t>2026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6241DF04">
            <w:pPr>
              <w:widowControl/>
              <w:autoSpaceDE/>
              <w:autoSpaceDN/>
              <w:adjustRightInd/>
              <w:jc w:val="center"/>
              <w:rPr>
                <w:b/>
                <w:bCs/>
                <w:sz w:val="22"/>
                <w:szCs w:val="22"/>
              </w:rPr>
            </w:pPr>
            <w:r>
              <w:rPr>
                <w:b/>
                <w:sz w:val="22"/>
                <w:szCs w:val="22"/>
              </w:rPr>
              <w:t>2027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1415789E">
            <w:pPr>
              <w:widowControl/>
              <w:autoSpaceDE/>
              <w:autoSpaceDN/>
              <w:adjustRightInd/>
              <w:jc w:val="center"/>
              <w:rPr>
                <w:b/>
                <w:bCs/>
                <w:sz w:val="22"/>
                <w:szCs w:val="22"/>
              </w:rPr>
            </w:pPr>
            <w:r>
              <w:rPr>
                <w:b/>
                <w:sz w:val="22"/>
                <w:szCs w:val="22"/>
              </w:rPr>
              <w:t>2028 год</w:t>
            </w:r>
          </w:p>
        </w:tc>
      </w:tr>
      <w:tr w14:paraId="5E9C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tcBorders>
              <w:top w:val="single" w:color="auto" w:sz="4" w:space="0"/>
              <w:left w:val="single" w:color="auto" w:sz="4" w:space="0"/>
              <w:bottom w:val="single" w:color="auto" w:sz="4" w:space="0"/>
              <w:right w:val="single" w:color="auto" w:sz="4" w:space="0"/>
            </w:tcBorders>
            <w:noWrap/>
          </w:tcPr>
          <w:p w14:paraId="067F9F60">
            <w:pPr>
              <w:widowControl/>
              <w:autoSpaceDE/>
              <w:autoSpaceDN/>
              <w:adjustRightInd/>
              <w:jc w:val="center"/>
              <w:rPr>
                <w:bCs/>
                <w:sz w:val="22"/>
                <w:szCs w:val="22"/>
              </w:rPr>
            </w:pPr>
            <w:r>
              <w:rPr>
                <w:bCs/>
                <w:sz w:val="22"/>
                <w:szCs w:val="22"/>
              </w:rPr>
              <w:t>1.</w:t>
            </w:r>
          </w:p>
        </w:tc>
        <w:tc>
          <w:tcPr>
            <w:tcW w:w="4536" w:type="dxa"/>
            <w:tcBorders>
              <w:top w:val="single" w:color="auto" w:sz="4" w:space="0"/>
              <w:left w:val="single" w:color="auto" w:sz="4" w:space="0"/>
              <w:bottom w:val="single" w:color="auto" w:sz="4" w:space="0"/>
              <w:right w:val="single" w:color="auto" w:sz="4" w:space="0"/>
            </w:tcBorders>
            <w:noWrap/>
            <w:vAlign w:val="center"/>
          </w:tcPr>
          <w:p w14:paraId="6911D959">
            <w:pPr>
              <w:widowControl/>
              <w:autoSpaceDE/>
              <w:autoSpaceDN/>
              <w:adjustRightInd/>
              <w:rPr>
                <w:bCs/>
                <w:sz w:val="22"/>
                <w:szCs w:val="22"/>
              </w:rPr>
            </w:pPr>
            <w:r>
              <w:rPr>
                <w:bCs/>
                <w:sz w:val="22"/>
                <w:szCs w:val="22"/>
              </w:rPr>
              <w:t>Проект бюджета  (2026 –2028 гг.),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6CCC235D">
            <w:pPr>
              <w:widowControl/>
              <w:autoSpaceDE/>
              <w:autoSpaceDN/>
              <w:adjustRightInd/>
              <w:jc w:val="center"/>
              <w:rPr>
                <w:bCs/>
                <w:sz w:val="22"/>
                <w:szCs w:val="22"/>
              </w:rPr>
            </w:pPr>
            <w:r>
              <w:rPr>
                <w:bCs/>
                <w:sz w:val="22"/>
                <w:szCs w:val="22"/>
              </w:rPr>
              <w:t>7 369,5</w:t>
            </w:r>
          </w:p>
        </w:tc>
        <w:tc>
          <w:tcPr>
            <w:tcW w:w="1418" w:type="dxa"/>
            <w:tcBorders>
              <w:top w:val="single" w:color="auto" w:sz="4" w:space="0"/>
              <w:left w:val="single" w:color="auto" w:sz="4" w:space="0"/>
              <w:bottom w:val="single" w:color="auto" w:sz="4" w:space="0"/>
              <w:right w:val="single" w:color="auto" w:sz="4" w:space="0"/>
            </w:tcBorders>
            <w:noWrap/>
            <w:vAlign w:val="center"/>
          </w:tcPr>
          <w:p w14:paraId="6E75A689">
            <w:pPr>
              <w:widowControl/>
              <w:autoSpaceDE/>
              <w:autoSpaceDN/>
              <w:adjustRightInd/>
              <w:jc w:val="center"/>
              <w:rPr>
                <w:bCs/>
                <w:sz w:val="22"/>
                <w:szCs w:val="22"/>
              </w:rPr>
            </w:pPr>
            <w:r>
              <w:rPr>
                <w:bCs/>
                <w:sz w:val="22"/>
                <w:szCs w:val="22"/>
              </w:rPr>
              <w:t>7 250,0</w:t>
            </w:r>
          </w:p>
        </w:tc>
        <w:tc>
          <w:tcPr>
            <w:tcW w:w="1418" w:type="dxa"/>
            <w:tcBorders>
              <w:top w:val="single" w:color="auto" w:sz="4" w:space="0"/>
              <w:left w:val="single" w:color="auto" w:sz="4" w:space="0"/>
              <w:bottom w:val="single" w:color="auto" w:sz="4" w:space="0"/>
              <w:right w:val="single" w:color="auto" w:sz="4" w:space="0"/>
            </w:tcBorders>
            <w:noWrap/>
            <w:vAlign w:val="center"/>
          </w:tcPr>
          <w:p w14:paraId="3282CA6F">
            <w:pPr>
              <w:widowControl/>
              <w:autoSpaceDE/>
              <w:autoSpaceDN/>
              <w:adjustRightInd/>
              <w:jc w:val="center"/>
              <w:rPr>
                <w:bCs/>
                <w:sz w:val="22"/>
                <w:szCs w:val="22"/>
              </w:rPr>
            </w:pPr>
            <w:r>
              <w:rPr>
                <w:bCs/>
                <w:sz w:val="22"/>
                <w:szCs w:val="22"/>
              </w:rPr>
              <w:t>7 250,0</w:t>
            </w:r>
          </w:p>
        </w:tc>
      </w:tr>
      <w:tr w14:paraId="0FDA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41F58F16">
            <w:pPr>
              <w:widowControl/>
              <w:autoSpaceDE/>
              <w:autoSpaceDN/>
              <w:adjustRightInd/>
              <w:jc w:val="center"/>
              <w:rPr>
                <w:sz w:val="22"/>
                <w:szCs w:val="22"/>
              </w:rPr>
            </w:pPr>
            <w:r>
              <w:rPr>
                <w:sz w:val="22"/>
                <w:szCs w:val="22"/>
              </w:rPr>
              <w:t>1.1</w:t>
            </w:r>
          </w:p>
        </w:tc>
        <w:tc>
          <w:tcPr>
            <w:tcW w:w="4536" w:type="dxa"/>
            <w:tcBorders>
              <w:top w:val="single" w:color="auto" w:sz="4" w:space="0"/>
              <w:left w:val="single" w:color="auto" w:sz="4" w:space="0"/>
              <w:bottom w:val="single" w:color="auto" w:sz="4" w:space="0"/>
              <w:right w:val="single" w:color="auto" w:sz="4" w:space="0"/>
            </w:tcBorders>
            <w:noWrap/>
            <w:vAlign w:val="center"/>
          </w:tcPr>
          <w:p w14:paraId="047F1C22">
            <w:pPr>
              <w:widowControl/>
              <w:autoSpaceDE/>
              <w:autoSpaceDN/>
              <w:adjustRightInd/>
              <w:rPr>
                <w:sz w:val="22"/>
                <w:szCs w:val="22"/>
              </w:rPr>
            </w:pPr>
            <w:r>
              <w:rPr>
                <w:sz w:val="22"/>
                <w:szCs w:val="22"/>
              </w:rPr>
              <w:t>к предыдущему году (оценка),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1B66EF5D">
            <w:pPr>
              <w:widowControl/>
              <w:autoSpaceDE/>
              <w:autoSpaceDN/>
              <w:adjustRightInd/>
              <w:jc w:val="center"/>
              <w:rPr>
                <w:sz w:val="22"/>
                <w:szCs w:val="22"/>
              </w:rPr>
            </w:pPr>
            <w:r>
              <w:rPr>
                <w:sz w:val="22"/>
                <w:szCs w:val="22"/>
              </w:rPr>
              <w:t>677,5</w:t>
            </w:r>
          </w:p>
        </w:tc>
        <w:tc>
          <w:tcPr>
            <w:tcW w:w="1418" w:type="dxa"/>
            <w:tcBorders>
              <w:top w:val="single" w:color="auto" w:sz="4" w:space="0"/>
              <w:left w:val="single" w:color="auto" w:sz="4" w:space="0"/>
              <w:bottom w:val="single" w:color="auto" w:sz="4" w:space="0"/>
              <w:right w:val="single" w:color="auto" w:sz="4" w:space="0"/>
            </w:tcBorders>
            <w:noWrap/>
            <w:vAlign w:val="center"/>
          </w:tcPr>
          <w:p w14:paraId="56F9804D">
            <w:pPr>
              <w:widowControl/>
              <w:autoSpaceDE/>
              <w:autoSpaceDN/>
              <w:adjustRightInd/>
              <w:jc w:val="center"/>
              <w:rPr>
                <w:rFonts w:hint="default"/>
                <w:sz w:val="22"/>
                <w:szCs w:val="22"/>
                <w:lang w:val="ru-RU"/>
              </w:rPr>
            </w:pPr>
            <w:r>
              <w:rPr>
                <w:rFonts w:hint="default"/>
                <w:sz w:val="22"/>
                <w:szCs w:val="22"/>
                <w:lang w:val="ru-RU"/>
              </w:rPr>
              <w:t>-119,5</w:t>
            </w:r>
          </w:p>
        </w:tc>
        <w:tc>
          <w:tcPr>
            <w:tcW w:w="1418" w:type="dxa"/>
            <w:tcBorders>
              <w:top w:val="single" w:color="auto" w:sz="4" w:space="0"/>
              <w:left w:val="single" w:color="auto" w:sz="4" w:space="0"/>
              <w:bottom w:val="single" w:color="auto" w:sz="4" w:space="0"/>
              <w:right w:val="single" w:color="auto" w:sz="4" w:space="0"/>
            </w:tcBorders>
            <w:noWrap/>
            <w:vAlign w:val="center"/>
          </w:tcPr>
          <w:p w14:paraId="3CBBE8AF">
            <w:pPr>
              <w:widowControl/>
              <w:autoSpaceDE/>
              <w:autoSpaceDN/>
              <w:adjustRightInd/>
              <w:jc w:val="center"/>
              <w:rPr>
                <w:sz w:val="22"/>
                <w:szCs w:val="22"/>
              </w:rPr>
            </w:pPr>
            <w:r>
              <w:rPr>
                <w:sz w:val="22"/>
                <w:szCs w:val="22"/>
              </w:rPr>
              <w:t>0</w:t>
            </w:r>
          </w:p>
        </w:tc>
      </w:tr>
      <w:tr w14:paraId="17A1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449BDE14">
            <w:pPr>
              <w:widowControl/>
              <w:autoSpaceDE/>
              <w:autoSpaceDN/>
              <w:adjustRightInd/>
              <w:jc w:val="center"/>
              <w:rPr>
                <w:sz w:val="22"/>
                <w:szCs w:val="22"/>
              </w:rPr>
            </w:pPr>
            <w:r>
              <w:rPr>
                <w:sz w:val="22"/>
                <w:szCs w:val="22"/>
              </w:rPr>
              <w:t>1.2</w:t>
            </w:r>
          </w:p>
        </w:tc>
        <w:tc>
          <w:tcPr>
            <w:tcW w:w="4536" w:type="dxa"/>
            <w:tcBorders>
              <w:top w:val="single" w:color="auto" w:sz="4" w:space="0"/>
              <w:left w:val="single" w:color="auto" w:sz="4" w:space="0"/>
              <w:bottom w:val="single" w:color="auto" w:sz="4" w:space="0"/>
              <w:right w:val="single" w:color="auto" w:sz="4" w:space="0"/>
            </w:tcBorders>
            <w:noWrap/>
            <w:vAlign w:val="center"/>
          </w:tcPr>
          <w:p w14:paraId="2AA38BD8">
            <w:pPr>
              <w:widowControl/>
              <w:autoSpaceDE/>
              <w:autoSpaceDN/>
              <w:adjustRightInd/>
              <w:rPr>
                <w:sz w:val="22"/>
                <w:szCs w:val="22"/>
              </w:rPr>
            </w:pPr>
            <w:r>
              <w:rPr>
                <w:sz w:val="22"/>
                <w:szCs w:val="22"/>
              </w:rPr>
              <w:t>к предыдущему  году (оценка), %</w:t>
            </w:r>
          </w:p>
        </w:tc>
        <w:tc>
          <w:tcPr>
            <w:tcW w:w="1417" w:type="dxa"/>
            <w:tcBorders>
              <w:top w:val="single" w:color="auto" w:sz="4" w:space="0"/>
              <w:left w:val="single" w:color="auto" w:sz="4" w:space="0"/>
              <w:bottom w:val="single" w:color="auto" w:sz="4" w:space="0"/>
              <w:right w:val="single" w:color="auto" w:sz="4" w:space="0"/>
            </w:tcBorders>
            <w:noWrap/>
            <w:vAlign w:val="center"/>
          </w:tcPr>
          <w:p w14:paraId="5F38AA7E">
            <w:pPr>
              <w:widowControl/>
              <w:autoSpaceDE/>
              <w:autoSpaceDN/>
              <w:adjustRightInd/>
              <w:jc w:val="center"/>
              <w:rPr>
                <w:sz w:val="22"/>
                <w:szCs w:val="22"/>
              </w:rPr>
            </w:pPr>
            <w:r>
              <w:rPr>
                <w:sz w:val="22"/>
                <w:szCs w:val="22"/>
              </w:rPr>
              <w:t>110,1</w:t>
            </w:r>
          </w:p>
        </w:tc>
        <w:tc>
          <w:tcPr>
            <w:tcW w:w="1418" w:type="dxa"/>
            <w:tcBorders>
              <w:top w:val="single" w:color="auto" w:sz="4" w:space="0"/>
              <w:left w:val="single" w:color="auto" w:sz="4" w:space="0"/>
              <w:bottom w:val="single" w:color="auto" w:sz="4" w:space="0"/>
              <w:right w:val="single" w:color="auto" w:sz="4" w:space="0"/>
            </w:tcBorders>
            <w:noWrap/>
            <w:vAlign w:val="center"/>
          </w:tcPr>
          <w:p w14:paraId="1BF1997D">
            <w:pPr>
              <w:widowControl/>
              <w:autoSpaceDE/>
              <w:autoSpaceDN/>
              <w:adjustRightInd/>
              <w:jc w:val="center"/>
              <w:rPr>
                <w:rFonts w:hint="default"/>
                <w:sz w:val="22"/>
                <w:szCs w:val="22"/>
                <w:lang w:val="ru-RU"/>
              </w:rPr>
            </w:pPr>
            <w:r>
              <w:rPr>
                <w:rFonts w:hint="default"/>
                <w:sz w:val="22"/>
                <w:szCs w:val="22"/>
                <w:lang w:val="ru-RU"/>
              </w:rPr>
              <w:t>98,4</w:t>
            </w:r>
          </w:p>
        </w:tc>
        <w:tc>
          <w:tcPr>
            <w:tcW w:w="1418" w:type="dxa"/>
            <w:tcBorders>
              <w:top w:val="single" w:color="auto" w:sz="4" w:space="0"/>
              <w:left w:val="single" w:color="auto" w:sz="4" w:space="0"/>
              <w:bottom w:val="single" w:color="auto" w:sz="4" w:space="0"/>
              <w:right w:val="single" w:color="auto" w:sz="4" w:space="0"/>
            </w:tcBorders>
            <w:noWrap/>
            <w:vAlign w:val="center"/>
          </w:tcPr>
          <w:p w14:paraId="1E9A119A">
            <w:pPr>
              <w:widowControl/>
              <w:autoSpaceDE/>
              <w:autoSpaceDN/>
              <w:adjustRightInd/>
              <w:jc w:val="center"/>
              <w:rPr>
                <w:sz w:val="22"/>
                <w:szCs w:val="22"/>
              </w:rPr>
            </w:pPr>
            <w:r>
              <w:rPr>
                <w:sz w:val="22"/>
                <w:szCs w:val="22"/>
              </w:rPr>
              <w:t>100,0</w:t>
            </w:r>
          </w:p>
        </w:tc>
      </w:tr>
      <w:tr w14:paraId="067B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17" w:type="dxa"/>
            <w:tcBorders>
              <w:top w:val="single" w:color="auto" w:sz="4" w:space="0"/>
              <w:left w:val="single" w:color="auto" w:sz="4" w:space="0"/>
              <w:bottom w:val="single" w:color="auto" w:sz="4" w:space="0"/>
              <w:right w:val="single" w:color="auto" w:sz="4" w:space="0"/>
            </w:tcBorders>
            <w:noWrap/>
          </w:tcPr>
          <w:p w14:paraId="3B52E319">
            <w:pPr>
              <w:widowControl/>
              <w:autoSpaceDE/>
              <w:autoSpaceDN/>
              <w:adjustRightInd/>
              <w:jc w:val="center"/>
              <w:rPr>
                <w:sz w:val="22"/>
                <w:szCs w:val="22"/>
              </w:rPr>
            </w:pPr>
            <w:r>
              <w:rPr>
                <w:sz w:val="22"/>
                <w:szCs w:val="22"/>
              </w:rPr>
              <w:t>2.</w:t>
            </w:r>
          </w:p>
        </w:tc>
        <w:tc>
          <w:tcPr>
            <w:tcW w:w="8789" w:type="dxa"/>
            <w:gridSpan w:val="4"/>
            <w:tcBorders>
              <w:top w:val="single" w:color="auto" w:sz="4" w:space="0"/>
              <w:left w:val="single" w:color="auto" w:sz="4" w:space="0"/>
              <w:bottom w:val="single" w:color="auto" w:sz="4" w:space="0"/>
              <w:right w:val="single" w:color="auto" w:sz="4" w:space="0"/>
            </w:tcBorders>
            <w:noWrap/>
          </w:tcPr>
          <w:p w14:paraId="75DEFC23">
            <w:pPr>
              <w:widowControl/>
              <w:autoSpaceDE/>
              <w:autoSpaceDN/>
              <w:adjustRightInd/>
              <w:rPr>
                <w:sz w:val="22"/>
                <w:szCs w:val="22"/>
                <w:highlight w:val="yellow"/>
              </w:rPr>
            </w:pPr>
            <w:r>
              <w:rPr>
                <w:sz w:val="22"/>
                <w:szCs w:val="22"/>
              </w:rPr>
              <w:t>Ожидаемая оценка поступлений 20</w:t>
            </w:r>
            <w:r>
              <w:rPr>
                <w:sz w:val="22"/>
                <w:szCs w:val="22"/>
                <w:lang w:val="en-US"/>
              </w:rPr>
              <w:t>2</w:t>
            </w:r>
            <w:r>
              <w:rPr>
                <w:sz w:val="22"/>
                <w:szCs w:val="22"/>
              </w:rPr>
              <w:t>5 года</w:t>
            </w:r>
          </w:p>
        </w:tc>
      </w:tr>
      <w:tr w14:paraId="6102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5530162F">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30CFF56C">
            <w:pPr>
              <w:widowControl/>
              <w:autoSpaceDE/>
              <w:autoSpaceDN/>
              <w:adjustRightInd/>
              <w:rPr>
                <w:sz w:val="22"/>
                <w:szCs w:val="22"/>
              </w:rPr>
            </w:pPr>
            <w:r>
              <w:rPr>
                <w:sz w:val="22"/>
                <w:szCs w:val="22"/>
              </w:rPr>
              <w:t>по данным проекта бюджета,</w:t>
            </w:r>
          </w:p>
          <w:p w14:paraId="3506FCBD">
            <w:pPr>
              <w:widowControl/>
              <w:autoSpaceDE/>
              <w:autoSpaceDN/>
              <w:adjustRightInd/>
              <w:rPr>
                <w:sz w:val="22"/>
                <w:szCs w:val="22"/>
              </w:rPr>
            </w:pPr>
            <w:r>
              <w:rPr>
                <w:sz w:val="22"/>
                <w:szCs w:val="22"/>
              </w:rPr>
              <w:t>тыс. рублей</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681AA398">
            <w:pPr>
              <w:widowControl/>
              <w:autoSpaceDE/>
              <w:autoSpaceDN/>
              <w:adjustRightInd/>
              <w:rPr>
                <w:sz w:val="22"/>
                <w:szCs w:val="22"/>
                <w:highlight w:val="yellow"/>
              </w:rPr>
            </w:pPr>
            <w:r>
              <w:rPr>
                <w:sz w:val="22"/>
                <w:szCs w:val="22"/>
              </w:rPr>
              <w:t>6 692,0</w:t>
            </w:r>
          </w:p>
        </w:tc>
      </w:tr>
      <w:tr w14:paraId="5D23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45C881E1">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382B6D87">
            <w:pPr>
              <w:widowControl/>
              <w:autoSpaceDE/>
              <w:autoSpaceDN/>
              <w:adjustRightInd/>
              <w:rPr>
                <w:sz w:val="22"/>
                <w:szCs w:val="22"/>
              </w:rPr>
            </w:pPr>
            <w:r>
              <w:rPr>
                <w:sz w:val="22"/>
                <w:szCs w:val="22"/>
              </w:rPr>
              <w:t>Факт 2024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7515B73F">
            <w:pPr>
              <w:widowControl/>
              <w:autoSpaceDE/>
              <w:autoSpaceDN/>
              <w:adjustRightInd/>
              <w:rPr>
                <w:sz w:val="22"/>
                <w:szCs w:val="22"/>
              </w:rPr>
            </w:pPr>
            <w:r>
              <w:rPr>
                <w:sz w:val="22"/>
                <w:szCs w:val="22"/>
              </w:rPr>
              <w:t>4 610,4</w:t>
            </w:r>
          </w:p>
        </w:tc>
      </w:tr>
      <w:tr w14:paraId="1CF6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4339A1BA">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14FE3A3C">
            <w:pPr>
              <w:widowControl/>
              <w:autoSpaceDE/>
              <w:autoSpaceDN/>
              <w:adjustRightInd/>
              <w:rPr>
                <w:sz w:val="22"/>
                <w:szCs w:val="22"/>
              </w:rPr>
            </w:pPr>
            <w:r>
              <w:rPr>
                <w:sz w:val="22"/>
                <w:szCs w:val="22"/>
              </w:rPr>
              <w:t>Факт 2023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780CC538">
            <w:pPr>
              <w:widowControl/>
              <w:autoSpaceDE/>
              <w:autoSpaceDN/>
              <w:adjustRightInd/>
              <w:rPr>
                <w:sz w:val="22"/>
                <w:szCs w:val="22"/>
              </w:rPr>
            </w:pPr>
            <w:r>
              <w:rPr>
                <w:sz w:val="22"/>
                <w:szCs w:val="22"/>
              </w:rPr>
              <w:t>1 950,6</w:t>
            </w:r>
          </w:p>
        </w:tc>
      </w:tr>
    </w:tbl>
    <w:p w14:paraId="376DE13D">
      <w:pPr>
        <w:pStyle w:val="8"/>
        <w:shd w:val="clear" w:color="auto" w:fill="auto"/>
        <w:spacing w:before="0" w:after="0" w:line="276" w:lineRule="auto"/>
        <w:ind w:right="20" w:firstLine="426"/>
        <w:jc w:val="both"/>
        <w:rPr>
          <w:rFonts w:ascii="Times New Roman" w:hAnsi="Times New Roman"/>
          <w:sz w:val="24"/>
          <w:szCs w:val="24"/>
        </w:rPr>
      </w:pPr>
      <w:r>
        <w:rPr>
          <w:rFonts w:ascii="Times New Roman" w:hAnsi="Times New Roman"/>
          <w:sz w:val="24"/>
          <w:szCs w:val="24"/>
        </w:rPr>
        <w:t xml:space="preserve">Государственная пошлина предусмотрена на 2026год в сумме 7 369,5 тыс. рублей, на 677,5 тыс. рублей больше, чем по прогнозу поступления  в  2025 году. </w:t>
      </w:r>
    </w:p>
    <w:p w14:paraId="0D66C472">
      <w:pPr>
        <w:pStyle w:val="8"/>
        <w:shd w:val="clear" w:color="auto" w:fill="auto"/>
        <w:spacing w:before="0" w:after="0" w:line="276" w:lineRule="auto"/>
        <w:ind w:right="20" w:firstLine="567"/>
        <w:jc w:val="both"/>
        <w:rPr>
          <w:rFonts w:ascii="Times New Roman" w:hAnsi="Times New Roman"/>
          <w:sz w:val="24"/>
          <w:szCs w:val="24"/>
        </w:rPr>
      </w:pPr>
    </w:p>
    <w:p w14:paraId="3A8AF061">
      <w:pPr>
        <w:widowControl/>
        <w:autoSpaceDE/>
        <w:autoSpaceDN/>
        <w:adjustRightInd/>
        <w:spacing w:line="360" w:lineRule="auto"/>
        <w:ind w:left="142" w:firstLine="555"/>
        <w:rPr>
          <w:sz w:val="24"/>
          <w:szCs w:val="24"/>
        </w:rPr>
      </w:pPr>
      <w:r>
        <w:rPr>
          <w:sz w:val="24"/>
          <w:szCs w:val="24"/>
        </w:rPr>
        <w:t>Динамика доходов, получаемые в виде арендной платы, а также средства от продажи права на заключение договоров аренды за земли   в 2026-2028 годах приведена ниже в таблице:</w:t>
      </w:r>
    </w:p>
    <w:tbl>
      <w:tblPr>
        <w:tblStyle w:val="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536"/>
        <w:gridCol w:w="1417"/>
        <w:gridCol w:w="1418"/>
        <w:gridCol w:w="1418"/>
      </w:tblGrid>
      <w:tr w14:paraId="1F62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17" w:type="dxa"/>
            <w:tcBorders>
              <w:top w:val="single" w:color="auto" w:sz="4" w:space="0"/>
              <w:left w:val="single" w:color="auto" w:sz="4" w:space="0"/>
              <w:bottom w:val="single" w:color="auto" w:sz="4" w:space="0"/>
              <w:right w:val="single" w:color="auto" w:sz="4" w:space="0"/>
            </w:tcBorders>
            <w:noWrap/>
            <w:vAlign w:val="bottom"/>
          </w:tcPr>
          <w:p w14:paraId="7F347E18">
            <w:pPr>
              <w:widowControl/>
              <w:autoSpaceDE/>
              <w:autoSpaceDN/>
              <w:adjustRightInd/>
              <w:jc w:val="center"/>
              <w:rPr>
                <w:bCs/>
                <w:sz w:val="22"/>
                <w:szCs w:val="22"/>
              </w:rPr>
            </w:pPr>
          </w:p>
        </w:tc>
        <w:tc>
          <w:tcPr>
            <w:tcW w:w="4536" w:type="dxa"/>
            <w:tcBorders>
              <w:top w:val="single" w:color="auto" w:sz="4" w:space="0"/>
              <w:left w:val="single" w:color="auto" w:sz="4" w:space="0"/>
              <w:bottom w:val="single" w:color="auto" w:sz="4" w:space="0"/>
              <w:right w:val="single" w:color="auto" w:sz="4" w:space="0"/>
            </w:tcBorders>
            <w:noWrap/>
            <w:vAlign w:val="center"/>
          </w:tcPr>
          <w:p w14:paraId="1BD65C27">
            <w:pPr>
              <w:widowControl/>
              <w:autoSpaceDE/>
              <w:autoSpaceDN/>
              <w:adjustRightInd/>
              <w:rPr>
                <w:b/>
                <w:sz w:val="22"/>
                <w:szCs w:val="22"/>
              </w:rPr>
            </w:pPr>
            <w:r>
              <w:rPr>
                <w:sz w:val="24"/>
                <w:szCs w:val="24"/>
              </w:rPr>
              <w:t>Доходы, получаемые в виде арендной платы, а также средства от продажи права на заключение договоров аренды за земли</w:t>
            </w:r>
          </w:p>
        </w:tc>
        <w:tc>
          <w:tcPr>
            <w:tcW w:w="1417" w:type="dxa"/>
            <w:tcBorders>
              <w:top w:val="single" w:color="auto" w:sz="4" w:space="0"/>
              <w:left w:val="single" w:color="auto" w:sz="4" w:space="0"/>
              <w:bottom w:val="single" w:color="auto" w:sz="4" w:space="0"/>
              <w:right w:val="single" w:color="auto" w:sz="4" w:space="0"/>
            </w:tcBorders>
            <w:noWrap/>
            <w:vAlign w:val="center"/>
          </w:tcPr>
          <w:p w14:paraId="0999FA58">
            <w:pPr>
              <w:widowControl/>
              <w:autoSpaceDE/>
              <w:autoSpaceDN/>
              <w:adjustRightInd/>
              <w:jc w:val="center"/>
              <w:rPr>
                <w:b/>
                <w:bCs/>
                <w:sz w:val="22"/>
                <w:szCs w:val="22"/>
              </w:rPr>
            </w:pPr>
            <w:r>
              <w:rPr>
                <w:b/>
                <w:sz w:val="22"/>
                <w:szCs w:val="22"/>
              </w:rPr>
              <w:t>2026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7325C1F4">
            <w:pPr>
              <w:widowControl/>
              <w:autoSpaceDE/>
              <w:autoSpaceDN/>
              <w:adjustRightInd/>
              <w:jc w:val="center"/>
              <w:rPr>
                <w:b/>
                <w:bCs/>
                <w:sz w:val="22"/>
                <w:szCs w:val="22"/>
              </w:rPr>
            </w:pPr>
            <w:r>
              <w:rPr>
                <w:b/>
                <w:sz w:val="22"/>
                <w:szCs w:val="22"/>
              </w:rPr>
              <w:t>2027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0A8EB27E">
            <w:pPr>
              <w:widowControl/>
              <w:autoSpaceDE/>
              <w:autoSpaceDN/>
              <w:adjustRightInd/>
              <w:jc w:val="center"/>
              <w:rPr>
                <w:b/>
                <w:bCs/>
                <w:sz w:val="22"/>
                <w:szCs w:val="22"/>
              </w:rPr>
            </w:pPr>
            <w:r>
              <w:rPr>
                <w:b/>
                <w:sz w:val="22"/>
                <w:szCs w:val="22"/>
              </w:rPr>
              <w:t>2028 год</w:t>
            </w:r>
          </w:p>
        </w:tc>
      </w:tr>
      <w:tr w14:paraId="6C2A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tcBorders>
              <w:top w:val="single" w:color="auto" w:sz="4" w:space="0"/>
              <w:left w:val="single" w:color="auto" w:sz="4" w:space="0"/>
              <w:bottom w:val="single" w:color="auto" w:sz="4" w:space="0"/>
              <w:right w:val="single" w:color="auto" w:sz="4" w:space="0"/>
            </w:tcBorders>
            <w:noWrap/>
          </w:tcPr>
          <w:p w14:paraId="176C0890">
            <w:pPr>
              <w:widowControl/>
              <w:autoSpaceDE/>
              <w:autoSpaceDN/>
              <w:adjustRightInd/>
              <w:jc w:val="center"/>
              <w:rPr>
                <w:bCs/>
                <w:sz w:val="22"/>
                <w:szCs w:val="22"/>
              </w:rPr>
            </w:pPr>
            <w:r>
              <w:rPr>
                <w:bCs/>
                <w:sz w:val="22"/>
                <w:szCs w:val="22"/>
              </w:rPr>
              <w:t>1.</w:t>
            </w:r>
          </w:p>
        </w:tc>
        <w:tc>
          <w:tcPr>
            <w:tcW w:w="4536" w:type="dxa"/>
            <w:tcBorders>
              <w:top w:val="single" w:color="auto" w:sz="4" w:space="0"/>
              <w:left w:val="single" w:color="auto" w:sz="4" w:space="0"/>
              <w:bottom w:val="single" w:color="auto" w:sz="4" w:space="0"/>
              <w:right w:val="single" w:color="auto" w:sz="4" w:space="0"/>
            </w:tcBorders>
            <w:noWrap/>
            <w:vAlign w:val="center"/>
          </w:tcPr>
          <w:p w14:paraId="26913748">
            <w:pPr>
              <w:widowControl/>
              <w:autoSpaceDE/>
              <w:autoSpaceDN/>
              <w:adjustRightInd/>
              <w:rPr>
                <w:bCs/>
                <w:sz w:val="22"/>
                <w:szCs w:val="22"/>
              </w:rPr>
            </w:pPr>
            <w:r>
              <w:rPr>
                <w:bCs/>
                <w:sz w:val="22"/>
                <w:szCs w:val="22"/>
              </w:rPr>
              <w:t>Проект бюджета  (2026 –2028гг.),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2C029D20">
            <w:pPr>
              <w:widowControl/>
              <w:autoSpaceDE/>
              <w:autoSpaceDN/>
              <w:adjustRightInd/>
              <w:jc w:val="center"/>
              <w:rPr>
                <w:bCs/>
                <w:sz w:val="22"/>
                <w:szCs w:val="22"/>
              </w:rPr>
            </w:pPr>
            <w:r>
              <w:rPr>
                <w:bCs/>
                <w:sz w:val="22"/>
                <w:szCs w:val="22"/>
              </w:rPr>
              <w:t>868,1</w:t>
            </w:r>
          </w:p>
        </w:tc>
        <w:tc>
          <w:tcPr>
            <w:tcW w:w="1418" w:type="dxa"/>
            <w:tcBorders>
              <w:top w:val="single" w:color="auto" w:sz="4" w:space="0"/>
              <w:left w:val="single" w:color="auto" w:sz="4" w:space="0"/>
              <w:bottom w:val="single" w:color="auto" w:sz="4" w:space="0"/>
              <w:right w:val="single" w:color="auto" w:sz="4" w:space="0"/>
            </w:tcBorders>
            <w:noWrap/>
            <w:vAlign w:val="center"/>
          </w:tcPr>
          <w:p w14:paraId="7B52918A">
            <w:pPr>
              <w:widowControl/>
              <w:autoSpaceDE/>
              <w:autoSpaceDN/>
              <w:adjustRightInd/>
              <w:jc w:val="center"/>
              <w:rPr>
                <w:bCs/>
                <w:sz w:val="22"/>
                <w:szCs w:val="22"/>
              </w:rPr>
            </w:pPr>
            <w:r>
              <w:rPr>
                <w:bCs/>
                <w:sz w:val="22"/>
                <w:szCs w:val="22"/>
              </w:rPr>
              <w:t>868,1</w:t>
            </w:r>
          </w:p>
        </w:tc>
        <w:tc>
          <w:tcPr>
            <w:tcW w:w="1418" w:type="dxa"/>
            <w:tcBorders>
              <w:top w:val="single" w:color="auto" w:sz="4" w:space="0"/>
              <w:left w:val="single" w:color="auto" w:sz="4" w:space="0"/>
              <w:bottom w:val="single" w:color="auto" w:sz="4" w:space="0"/>
              <w:right w:val="single" w:color="auto" w:sz="4" w:space="0"/>
            </w:tcBorders>
            <w:noWrap/>
            <w:vAlign w:val="center"/>
          </w:tcPr>
          <w:p w14:paraId="29A64ED3">
            <w:pPr>
              <w:widowControl/>
              <w:autoSpaceDE/>
              <w:autoSpaceDN/>
              <w:adjustRightInd/>
              <w:jc w:val="center"/>
              <w:rPr>
                <w:bCs/>
                <w:sz w:val="22"/>
                <w:szCs w:val="22"/>
              </w:rPr>
            </w:pPr>
            <w:r>
              <w:rPr>
                <w:bCs/>
                <w:sz w:val="22"/>
                <w:szCs w:val="22"/>
              </w:rPr>
              <w:t>868,1</w:t>
            </w:r>
          </w:p>
        </w:tc>
      </w:tr>
      <w:tr w14:paraId="21CD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3E1BADA8">
            <w:pPr>
              <w:widowControl/>
              <w:autoSpaceDE/>
              <w:autoSpaceDN/>
              <w:adjustRightInd/>
              <w:jc w:val="center"/>
              <w:rPr>
                <w:sz w:val="22"/>
                <w:szCs w:val="22"/>
              </w:rPr>
            </w:pPr>
            <w:r>
              <w:rPr>
                <w:sz w:val="22"/>
                <w:szCs w:val="22"/>
              </w:rPr>
              <w:t>1.1</w:t>
            </w:r>
          </w:p>
        </w:tc>
        <w:tc>
          <w:tcPr>
            <w:tcW w:w="4536" w:type="dxa"/>
            <w:tcBorders>
              <w:top w:val="single" w:color="auto" w:sz="4" w:space="0"/>
              <w:left w:val="single" w:color="auto" w:sz="4" w:space="0"/>
              <w:bottom w:val="single" w:color="auto" w:sz="4" w:space="0"/>
              <w:right w:val="single" w:color="auto" w:sz="4" w:space="0"/>
            </w:tcBorders>
            <w:noWrap/>
            <w:vAlign w:val="center"/>
          </w:tcPr>
          <w:p w14:paraId="46E1E291">
            <w:pPr>
              <w:widowControl/>
              <w:autoSpaceDE/>
              <w:autoSpaceDN/>
              <w:adjustRightInd/>
              <w:rPr>
                <w:sz w:val="22"/>
                <w:szCs w:val="22"/>
              </w:rPr>
            </w:pPr>
            <w:r>
              <w:rPr>
                <w:sz w:val="22"/>
                <w:szCs w:val="22"/>
              </w:rPr>
              <w:t>к предыдущему году (оценка),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62BDBB07">
            <w:pPr>
              <w:widowControl/>
              <w:autoSpaceDE/>
              <w:autoSpaceDN/>
              <w:adjustRightInd/>
              <w:jc w:val="center"/>
              <w:rPr>
                <w:sz w:val="22"/>
                <w:szCs w:val="22"/>
              </w:rPr>
            </w:pPr>
            <w:r>
              <w:rPr>
                <w:rFonts w:hint="default"/>
                <w:sz w:val="22"/>
                <w:szCs w:val="22"/>
                <w:lang w:val="ru-RU"/>
              </w:rPr>
              <w:t>+</w:t>
            </w:r>
            <w:r>
              <w:rPr>
                <w:sz w:val="22"/>
                <w:szCs w:val="22"/>
              </w:rPr>
              <w:t>138,8</w:t>
            </w:r>
          </w:p>
        </w:tc>
        <w:tc>
          <w:tcPr>
            <w:tcW w:w="1418" w:type="dxa"/>
            <w:tcBorders>
              <w:top w:val="single" w:color="auto" w:sz="4" w:space="0"/>
              <w:left w:val="single" w:color="auto" w:sz="4" w:space="0"/>
              <w:bottom w:val="single" w:color="auto" w:sz="4" w:space="0"/>
              <w:right w:val="single" w:color="auto" w:sz="4" w:space="0"/>
            </w:tcBorders>
            <w:noWrap/>
            <w:vAlign w:val="center"/>
          </w:tcPr>
          <w:p w14:paraId="23BCDA08">
            <w:pPr>
              <w:widowControl/>
              <w:autoSpaceDE/>
              <w:autoSpaceDN/>
              <w:adjustRightInd/>
              <w:jc w:val="center"/>
              <w:rPr>
                <w:sz w:val="22"/>
                <w:szCs w:val="22"/>
              </w:rPr>
            </w:pPr>
            <w:r>
              <w:rPr>
                <w:sz w:val="22"/>
                <w:szCs w:val="22"/>
              </w:rPr>
              <w:t>0</w:t>
            </w:r>
          </w:p>
        </w:tc>
        <w:tc>
          <w:tcPr>
            <w:tcW w:w="1418" w:type="dxa"/>
            <w:tcBorders>
              <w:top w:val="single" w:color="auto" w:sz="4" w:space="0"/>
              <w:left w:val="single" w:color="auto" w:sz="4" w:space="0"/>
              <w:bottom w:val="single" w:color="auto" w:sz="4" w:space="0"/>
              <w:right w:val="single" w:color="auto" w:sz="4" w:space="0"/>
            </w:tcBorders>
            <w:noWrap/>
            <w:vAlign w:val="center"/>
          </w:tcPr>
          <w:p w14:paraId="1F051A42">
            <w:pPr>
              <w:widowControl/>
              <w:autoSpaceDE/>
              <w:autoSpaceDN/>
              <w:adjustRightInd/>
              <w:jc w:val="center"/>
              <w:rPr>
                <w:sz w:val="22"/>
                <w:szCs w:val="22"/>
              </w:rPr>
            </w:pPr>
            <w:r>
              <w:rPr>
                <w:sz w:val="22"/>
                <w:szCs w:val="22"/>
              </w:rPr>
              <w:t>0</w:t>
            </w:r>
          </w:p>
        </w:tc>
      </w:tr>
      <w:tr w14:paraId="2F69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53D36316">
            <w:pPr>
              <w:widowControl/>
              <w:autoSpaceDE/>
              <w:autoSpaceDN/>
              <w:adjustRightInd/>
              <w:jc w:val="center"/>
              <w:rPr>
                <w:sz w:val="22"/>
                <w:szCs w:val="22"/>
              </w:rPr>
            </w:pPr>
            <w:r>
              <w:rPr>
                <w:sz w:val="22"/>
                <w:szCs w:val="22"/>
              </w:rPr>
              <w:t>1.2</w:t>
            </w:r>
          </w:p>
        </w:tc>
        <w:tc>
          <w:tcPr>
            <w:tcW w:w="4536" w:type="dxa"/>
            <w:tcBorders>
              <w:top w:val="single" w:color="auto" w:sz="4" w:space="0"/>
              <w:left w:val="single" w:color="auto" w:sz="4" w:space="0"/>
              <w:bottom w:val="single" w:color="auto" w:sz="4" w:space="0"/>
              <w:right w:val="single" w:color="auto" w:sz="4" w:space="0"/>
            </w:tcBorders>
            <w:noWrap/>
            <w:vAlign w:val="center"/>
          </w:tcPr>
          <w:p w14:paraId="6F8D1A95">
            <w:pPr>
              <w:widowControl/>
              <w:autoSpaceDE/>
              <w:autoSpaceDN/>
              <w:adjustRightInd/>
              <w:rPr>
                <w:sz w:val="22"/>
                <w:szCs w:val="22"/>
              </w:rPr>
            </w:pPr>
            <w:r>
              <w:rPr>
                <w:sz w:val="22"/>
                <w:szCs w:val="22"/>
              </w:rPr>
              <w:t>к предыдущему  году (оценка), %</w:t>
            </w:r>
          </w:p>
        </w:tc>
        <w:tc>
          <w:tcPr>
            <w:tcW w:w="1417" w:type="dxa"/>
            <w:tcBorders>
              <w:top w:val="single" w:color="auto" w:sz="4" w:space="0"/>
              <w:left w:val="single" w:color="auto" w:sz="4" w:space="0"/>
              <w:bottom w:val="single" w:color="auto" w:sz="4" w:space="0"/>
              <w:right w:val="single" w:color="auto" w:sz="4" w:space="0"/>
            </w:tcBorders>
            <w:noWrap/>
            <w:vAlign w:val="center"/>
          </w:tcPr>
          <w:p w14:paraId="1341ACEF">
            <w:pPr>
              <w:widowControl/>
              <w:autoSpaceDE/>
              <w:autoSpaceDN/>
              <w:adjustRightInd/>
              <w:ind w:firstLine="330" w:firstLineChars="150"/>
              <w:rPr>
                <w:rFonts w:hint="default"/>
                <w:sz w:val="22"/>
                <w:szCs w:val="22"/>
                <w:lang w:val="ru-RU"/>
              </w:rPr>
            </w:pPr>
            <w:r>
              <w:rPr>
                <w:rFonts w:hint="default"/>
                <w:sz w:val="22"/>
                <w:szCs w:val="22"/>
                <w:lang w:val="ru-RU"/>
              </w:rPr>
              <w:t>119,0</w:t>
            </w:r>
          </w:p>
        </w:tc>
        <w:tc>
          <w:tcPr>
            <w:tcW w:w="1418" w:type="dxa"/>
            <w:tcBorders>
              <w:top w:val="single" w:color="auto" w:sz="4" w:space="0"/>
              <w:left w:val="single" w:color="auto" w:sz="4" w:space="0"/>
              <w:bottom w:val="single" w:color="auto" w:sz="4" w:space="0"/>
              <w:right w:val="single" w:color="auto" w:sz="4" w:space="0"/>
            </w:tcBorders>
            <w:noWrap/>
            <w:vAlign w:val="center"/>
          </w:tcPr>
          <w:p w14:paraId="59940864">
            <w:pPr>
              <w:widowControl/>
              <w:autoSpaceDE/>
              <w:autoSpaceDN/>
              <w:adjustRightInd/>
              <w:jc w:val="center"/>
              <w:rPr>
                <w:sz w:val="22"/>
                <w:szCs w:val="22"/>
              </w:rPr>
            </w:pPr>
            <w:r>
              <w:rPr>
                <w:sz w:val="22"/>
                <w:szCs w:val="22"/>
              </w:rPr>
              <w:t>0</w:t>
            </w:r>
          </w:p>
        </w:tc>
        <w:tc>
          <w:tcPr>
            <w:tcW w:w="1418" w:type="dxa"/>
            <w:tcBorders>
              <w:top w:val="single" w:color="auto" w:sz="4" w:space="0"/>
              <w:left w:val="single" w:color="auto" w:sz="4" w:space="0"/>
              <w:bottom w:val="single" w:color="auto" w:sz="4" w:space="0"/>
              <w:right w:val="single" w:color="auto" w:sz="4" w:space="0"/>
            </w:tcBorders>
            <w:noWrap/>
            <w:vAlign w:val="center"/>
          </w:tcPr>
          <w:p w14:paraId="1F12CDAE">
            <w:pPr>
              <w:widowControl/>
              <w:autoSpaceDE/>
              <w:autoSpaceDN/>
              <w:adjustRightInd/>
              <w:jc w:val="center"/>
              <w:rPr>
                <w:sz w:val="22"/>
                <w:szCs w:val="22"/>
              </w:rPr>
            </w:pPr>
            <w:r>
              <w:rPr>
                <w:sz w:val="22"/>
                <w:szCs w:val="22"/>
              </w:rPr>
              <w:t>0</w:t>
            </w:r>
          </w:p>
        </w:tc>
      </w:tr>
      <w:tr w14:paraId="4813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17" w:type="dxa"/>
            <w:tcBorders>
              <w:top w:val="single" w:color="auto" w:sz="4" w:space="0"/>
              <w:left w:val="single" w:color="auto" w:sz="4" w:space="0"/>
              <w:bottom w:val="single" w:color="auto" w:sz="4" w:space="0"/>
              <w:right w:val="single" w:color="auto" w:sz="4" w:space="0"/>
            </w:tcBorders>
            <w:noWrap/>
          </w:tcPr>
          <w:p w14:paraId="75F63B00">
            <w:pPr>
              <w:widowControl/>
              <w:autoSpaceDE/>
              <w:autoSpaceDN/>
              <w:adjustRightInd/>
              <w:jc w:val="center"/>
              <w:rPr>
                <w:sz w:val="22"/>
                <w:szCs w:val="22"/>
              </w:rPr>
            </w:pPr>
            <w:r>
              <w:rPr>
                <w:sz w:val="22"/>
                <w:szCs w:val="22"/>
              </w:rPr>
              <w:t>2.</w:t>
            </w:r>
          </w:p>
        </w:tc>
        <w:tc>
          <w:tcPr>
            <w:tcW w:w="8789" w:type="dxa"/>
            <w:gridSpan w:val="4"/>
            <w:tcBorders>
              <w:top w:val="single" w:color="auto" w:sz="4" w:space="0"/>
              <w:left w:val="single" w:color="auto" w:sz="4" w:space="0"/>
              <w:bottom w:val="single" w:color="auto" w:sz="4" w:space="0"/>
              <w:right w:val="single" w:color="auto" w:sz="4" w:space="0"/>
            </w:tcBorders>
            <w:noWrap/>
          </w:tcPr>
          <w:p w14:paraId="0242646B">
            <w:pPr>
              <w:widowControl/>
              <w:autoSpaceDE/>
              <w:autoSpaceDN/>
              <w:adjustRightInd/>
              <w:rPr>
                <w:sz w:val="22"/>
                <w:szCs w:val="22"/>
                <w:highlight w:val="yellow"/>
              </w:rPr>
            </w:pPr>
            <w:r>
              <w:rPr>
                <w:sz w:val="22"/>
                <w:szCs w:val="22"/>
              </w:rPr>
              <w:t>Ожидаемая оценка поступлений 20</w:t>
            </w:r>
            <w:r>
              <w:rPr>
                <w:sz w:val="22"/>
                <w:szCs w:val="22"/>
                <w:lang w:val="en-US"/>
              </w:rPr>
              <w:t>2</w:t>
            </w:r>
            <w:r>
              <w:rPr>
                <w:sz w:val="22"/>
                <w:szCs w:val="22"/>
              </w:rPr>
              <w:t>5 года</w:t>
            </w:r>
          </w:p>
        </w:tc>
      </w:tr>
      <w:tr w14:paraId="15EF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1C4A9052">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738F6B4F">
            <w:pPr>
              <w:widowControl/>
              <w:autoSpaceDE/>
              <w:autoSpaceDN/>
              <w:adjustRightInd/>
              <w:rPr>
                <w:sz w:val="22"/>
                <w:szCs w:val="22"/>
              </w:rPr>
            </w:pPr>
            <w:r>
              <w:rPr>
                <w:sz w:val="22"/>
                <w:szCs w:val="22"/>
              </w:rPr>
              <w:t>по данным проекта бюджета,</w:t>
            </w:r>
          </w:p>
          <w:p w14:paraId="6014A783">
            <w:pPr>
              <w:widowControl/>
              <w:autoSpaceDE/>
              <w:autoSpaceDN/>
              <w:adjustRightInd/>
              <w:rPr>
                <w:sz w:val="22"/>
                <w:szCs w:val="22"/>
              </w:rPr>
            </w:pPr>
            <w:r>
              <w:rPr>
                <w:sz w:val="22"/>
                <w:szCs w:val="22"/>
              </w:rPr>
              <w:t>тыс. рублей</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136B4980">
            <w:pPr>
              <w:widowControl/>
              <w:autoSpaceDE/>
              <w:autoSpaceDN/>
              <w:adjustRightInd/>
              <w:rPr>
                <w:sz w:val="22"/>
                <w:szCs w:val="22"/>
                <w:highlight w:val="yellow"/>
              </w:rPr>
            </w:pPr>
            <w:r>
              <w:rPr>
                <w:sz w:val="22"/>
                <w:szCs w:val="22"/>
              </w:rPr>
              <w:t>729,3</w:t>
            </w:r>
          </w:p>
        </w:tc>
      </w:tr>
      <w:tr w14:paraId="6F7D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1B208413">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49778AA5">
            <w:pPr>
              <w:widowControl/>
              <w:autoSpaceDE/>
              <w:autoSpaceDN/>
              <w:adjustRightInd/>
              <w:rPr>
                <w:sz w:val="22"/>
                <w:szCs w:val="22"/>
              </w:rPr>
            </w:pPr>
            <w:r>
              <w:rPr>
                <w:sz w:val="22"/>
                <w:szCs w:val="22"/>
              </w:rPr>
              <w:t>Факт 2024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0A0EA932">
            <w:pPr>
              <w:widowControl/>
              <w:autoSpaceDE/>
              <w:autoSpaceDN/>
              <w:adjustRightInd/>
              <w:rPr>
                <w:sz w:val="22"/>
                <w:szCs w:val="22"/>
              </w:rPr>
            </w:pPr>
            <w:r>
              <w:rPr>
                <w:sz w:val="22"/>
                <w:szCs w:val="22"/>
              </w:rPr>
              <w:t>861,3</w:t>
            </w:r>
          </w:p>
        </w:tc>
      </w:tr>
      <w:tr w14:paraId="3B93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41987146">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103E6685">
            <w:pPr>
              <w:widowControl/>
              <w:autoSpaceDE/>
              <w:autoSpaceDN/>
              <w:adjustRightInd/>
              <w:rPr>
                <w:sz w:val="22"/>
                <w:szCs w:val="22"/>
              </w:rPr>
            </w:pPr>
            <w:r>
              <w:rPr>
                <w:sz w:val="22"/>
                <w:szCs w:val="22"/>
              </w:rPr>
              <w:t>Факт 2023год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44EFB8DC">
            <w:pPr>
              <w:widowControl/>
              <w:autoSpaceDE/>
              <w:autoSpaceDN/>
              <w:adjustRightInd/>
              <w:rPr>
                <w:rFonts w:hint="default"/>
                <w:sz w:val="22"/>
                <w:szCs w:val="22"/>
                <w:lang w:val="ru-RU"/>
              </w:rPr>
            </w:pPr>
            <w:r>
              <w:rPr>
                <w:rFonts w:hint="default"/>
                <w:sz w:val="22"/>
                <w:szCs w:val="22"/>
                <w:lang w:val="ru-RU"/>
              </w:rPr>
              <w:t>595,4</w:t>
            </w:r>
          </w:p>
        </w:tc>
      </w:tr>
    </w:tbl>
    <w:p w14:paraId="67952B19">
      <w:pPr>
        <w:pStyle w:val="8"/>
        <w:shd w:val="clear" w:color="auto" w:fill="auto"/>
        <w:tabs>
          <w:tab w:val="left" w:pos="426"/>
        </w:tabs>
        <w:spacing w:before="0" w:after="0" w:line="276" w:lineRule="auto"/>
        <w:ind w:right="20" w:firstLine="480" w:firstLineChars="200"/>
        <w:jc w:val="both"/>
        <w:rPr>
          <w:rFonts w:ascii="Times New Roman" w:hAnsi="Times New Roman"/>
          <w:sz w:val="24"/>
          <w:szCs w:val="24"/>
        </w:rPr>
      </w:pPr>
      <w:r>
        <w:rPr>
          <w:rFonts w:ascii="Times New Roman" w:hAnsi="Times New Roman"/>
          <w:sz w:val="24"/>
          <w:szCs w:val="24"/>
        </w:rPr>
        <w:t xml:space="preserve">Доходы, получаемые в виде арендной платы, а также средства от продажи права на заключение договоров аренды за земли,  на 2026 год предусмотрены на сумму 868,1тыс. рублей,  </w:t>
      </w:r>
      <w:r>
        <w:rPr>
          <w:rFonts w:ascii="Times New Roman" w:hAnsi="Times New Roman"/>
          <w:sz w:val="24"/>
          <w:szCs w:val="24"/>
          <w:lang w:val="ru-RU"/>
        </w:rPr>
        <w:t>больше</w:t>
      </w:r>
      <w:r>
        <w:rPr>
          <w:rFonts w:ascii="Times New Roman" w:hAnsi="Times New Roman"/>
          <w:sz w:val="24"/>
          <w:szCs w:val="24"/>
        </w:rPr>
        <w:t xml:space="preserve"> на 138,8 тыс.рублей ожидаемого исполнения 2025года</w:t>
      </w:r>
      <w:r>
        <w:rPr>
          <w:rFonts w:hint="default" w:ascii="Times New Roman" w:hAnsi="Times New Roman"/>
          <w:sz w:val="24"/>
          <w:szCs w:val="24"/>
          <w:lang w:val="ru-RU"/>
        </w:rPr>
        <w:t>.</w:t>
      </w:r>
      <w:r>
        <w:rPr>
          <w:rFonts w:ascii="Times New Roman" w:hAnsi="Times New Roman"/>
          <w:sz w:val="24"/>
          <w:szCs w:val="24"/>
        </w:rPr>
        <w:t xml:space="preserve"> </w:t>
      </w:r>
    </w:p>
    <w:p w14:paraId="60A34C13">
      <w:pPr>
        <w:pStyle w:val="8"/>
        <w:shd w:val="clear" w:color="auto" w:fill="auto"/>
        <w:spacing w:before="0" w:after="0" w:line="276" w:lineRule="auto"/>
        <w:ind w:right="20" w:firstLine="567"/>
        <w:jc w:val="both"/>
        <w:rPr>
          <w:rFonts w:ascii="Times New Roman" w:hAnsi="Times New Roman"/>
          <w:sz w:val="24"/>
          <w:szCs w:val="24"/>
        </w:rPr>
      </w:pPr>
    </w:p>
    <w:p w14:paraId="73AA679D">
      <w:pPr>
        <w:widowControl/>
        <w:autoSpaceDE/>
        <w:autoSpaceDN/>
        <w:adjustRightInd/>
        <w:spacing w:line="360" w:lineRule="auto"/>
        <w:ind w:left="142" w:firstLine="555"/>
        <w:rPr>
          <w:sz w:val="24"/>
          <w:szCs w:val="24"/>
        </w:rPr>
      </w:pPr>
      <w:r>
        <w:rPr>
          <w:sz w:val="24"/>
          <w:szCs w:val="24"/>
        </w:rPr>
        <w:t>Динамика доходов, получаемые от сдачи в  аренду имущества, находящегося в оперативном управлении органов управления муниципальных районов, округов, созданных ими учреждений (за исключением имущества муниципальных бюджетных и автономных учреждений)   в 2026-2028 годах приведена ниже в таблице:</w:t>
      </w:r>
    </w:p>
    <w:tbl>
      <w:tblPr>
        <w:tblStyle w:val="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536"/>
        <w:gridCol w:w="1417"/>
        <w:gridCol w:w="1418"/>
        <w:gridCol w:w="1418"/>
      </w:tblGrid>
      <w:tr w14:paraId="579C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17" w:type="dxa"/>
            <w:tcBorders>
              <w:top w:val="single" w:color="auto" w:sz="4" w:space="0"/>
              <w:left w:val="single" w:color="auto" w:sz="4" w:space="0"/>
              <w:bottom w:val="single" w:color="auto" w:sz="4" w:space="0"/>
              <w:right w:val="single" w:color="auto" w:sz="4" w:space="0"/>
            </w:tcBorders>
            <w:noWrap/>
            <w:vAlign w:val="bottom"/>
          </w:tcPr>
          <w:p w14:paraId="6B55F5C2">
            <w:pPr>
              <w:widowControl/>
              <w:autoSpaceDE/>
              <w:autoSpaceDN/>
              <w:adjustRightInd/>
              <w:jc w:val="center"/>
              <w:rPr>
                <w:bCs/>
                <w:sz w:val="22"/>
                <w:szCs w:val="22"/>
              </w:rPr>
            </w:pPr>
          </w:p>
        </w:tc>
        <w:tc>
          <w:tcPr>
            <w:tcW w:w="4536" w:type="dxa"/>
            <w:tcBorders>
              <w:top w:val="single" w:color="auto" w:sz="4" w:space="0"/>
              <w:left w:val="single" w:color="auto" w:sz="4" w:space="0"/>
              <w:bottom w:val="single" w:color="auto" w:sz="4" w:space="0"/>
              <w:right w:val="single" w:color="auto" w:sz="4" w:space="0"/>
            </w:tcBorders>
            <w:noWrap/>
            <w:vAlign w:val="center"/>
          </w:tcPr>
          <w:p w14:paraId="5BC1F9E7">
            <w:pPr>
              <w:widowControl/>
              <w:autoSpaceDE/>
              <w:autoSpaceDN/>
              <w:adjustRightInd/>
              <w:rPr>
                <w:b/>
                <w:sz w:val="22"/>
                <w:szCs w:val="22"/>
              </w:rPr>
            </w:pPr>
            <w:r>
              <w:rPr>
                <w:sz w:val="24"/>
                <w:szCs w:val="24"/>
              </w:rPr>
              <w:t>Доходы, получаемые от сдачи в  аренду имущества,находящегося в оперативном управлении органов управления муниципальных районов,округов</w:t>
            </w:r>
          </w:p>
        </w:tc>
        <w:tc>
          <w:tcPr>
            <w:tcW w:w="1417" w:type="dxa"/>
            <w:tcBorders>
              <w:top w:val="single" w:color="auto" w:sz="4" w:space="0"/>
              <w:left w:val="single" w:color="auto" w:sz="4" w:space="0"/>
              <w:bottom w:val="single" w:color="auto" w:sz="4" w:space="0"/>
              <w:right w:val="single" w:color="auto" w:sz="4" w:space="0"/>
            </w:tcBorders>
            <w:noWrap/>
            <w:vAlign w:val="center"/>
          </w:tcPr>
          <w:p w14:paraId="3B9CF872">
            <w:pPr>
              <w:widowControl/>
              <w:autoSpaceDE/>
              <w:autoSpaceDN/>
              <w:adjustRightInd/>
              <w:jc w:val="center"/>
              <w:rPr>
                <w:b/>
                <w:bCs/>
                <w:sz w:val="22"/>
                <w:szCs w:val="22"/>
              </w:rPr>
            </w:pPr>
            <w:r>
              <w:rPr>
                <w:b/>
                <w:sz w:val="22"/>
                <w:szCs w:val="22"/>
              </w:rPr>
              <w:t>2026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0FF40BFA">
            <w:pPr>
              <w:widowControl/>
              <w:autoSpaceDE/>
              <w:autoSpaceDN/>
              <w:adjustRightInd/>
              <w:jc w:val="center"/>
              <w:rPr>
                <w:b/>
                <w:bCs/>
                <w:sz w:val="22"/>
                <w:szCs w:val="22"/>
              </w:rPr>
            </w:pPr>
            <w:r>
              <w:rPr>
                <w:b/>
                <w:sz w:val="22"/>
                <w:szCs w:val="22"/>
              </w:rPr>
              <w:t>2027год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207C3224">
            <w:pPr>
              <w:widowControl/>
              <w:autoSpaceDE/>
              <w:autoSpaceDN/>
              <w:adjustRightInd/>
              <w:jc w:val="center"/>
              <w:rPr>
                <w:b/>
                <w:bCs/>
                <w:sz w:val="22"/>
                <w:szCs w:val="22"/>
              </w:rPr>
            </w:pPr>
            <w:r>
              <w:rPr>
                <w:b/>
                <w:sz w:val="22"/>
                <w:szCs w:val="22"/>
              </w:rPr>
              <w:t>2028год</w:t>
            </w:r>
          </w:p>
        </w:tc>
      </w:tr>
      <w:tr w14:paraId="4017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tcBorders>
              <w:top w:val="single" w:color="auto" w:sz="4" w:space="0"/>
              <w:left w:val="single" w:color="auto" w:sz="4" w:space="0"/>
              <w:bottom w:val="single" w:color="auto" w:sz="4" w:space="0"/>
              <w:right w:val="single" w:color="auto" w:sz="4" w:space="0"/>
            </w:tcBorders>
            <w:noWrap/>
          </w:tcPr>
          <w:p w14:paraId="21F6E4A5">
            <w:pPr>
              <w:widowControl/>
              <w:autoSpaceDE/>
              <w:autoSpaceDN/>
              <w:adjustRightInd/>
              <w:jc w:val="center"/>
              <w:rPr>
                <w:bCs/>
                <w:sz w:val="22"/>
                <w:szCs w:val="22"/>
              </w:rPr>
            </w:pPr>
            <w:r>
              <w:rPr>
                <w:bCs/>
                <w:sz w:val="22"/>
                <w:szCs w:val="22"/>
              </w:rPr>
              <w:t>1.</w:t>
            </w:r>
          </w:p>
        </w:tc>
        <w:tc>
          <w:tcPr>
            <w:tcW w:w="4536" w:type="dxa"/>
            <w:tcBorders>
              <w:top w:val="single" w:color="auto" w:sz="4" w:space="0"/>
              <w:left w:val="single" w:color="auto" w:sz="4" w:space="0"/>
              <w:bottom w:val="single" w:color="auto" w:sz="4" w:space="0"/>
              <w:right w:val="single" w:color="auto" w:sz="4" w:space="0"/>
            </w:tcBorders>
            <w:noWrap/>
            <w:vAlign w:val="center"/>
          </w:tcPr>
          <w:p w14:paraId="17AE6204">
            <w:pPr>
              <w:widowControl/>
              <w:autoSpaceDE/>
              <w:autoSpaceDN/>
              <w:adjustRightInd/>
              <w:rPr>
                <w:bCs/>
                <w:sz w:val="22"/>
                <w:szCs w:val="22"/>
              </w:rPr>
            </w:pPr>
            <w:r>
              <w:rPr>
                <w:bCs/>
                <w:sz w:val="22"/>
                <w:szCs w:val="22"/>
              </w:rPr>
              <w:t>Проект бюджета  (2026 –2028 гг.),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17F2DF4A">
            <w:pPr>
              <w:widowControl/>
              <w:autoSpaceDE/>
              <w:autoSpaceDN/>
              <w:adjustRightInd/>
              <w:jc w:val="center"/>
              <w:rPr>
                <w:bCs/>
                <w:sz w:val="22"/>
                <w:szCs w:val="22"/>
              </w:rPr>
            </w:pPr>
            <w:r>
              <w:rPr>
                <w:bCs/>
                <w:sz w:val="22"/>
                <w:szCs w:val="22"/>
              </w:rPr>
              <w:t>2 459,2</w:t>
            </w:r>
          </w:p>
        </w:tc>
        <w:tc>
          <w:tcPr>
            <w:tcW w:w="1418" w:type="dxa"/>
            <w:tcBorders>
              <w:top w:val="single" w:color="auto" w:sz="4" w:space="0"/>
              <w:left w:val="single" w:color="auto" w:sz="4" w:space="0"/>
              <w:bottom w:val="single" w:color="auto" w:sz="4" w:space="0"/>
              <w:right w:val="single" w:color="auto" w:sz="4" w:space="0"/>
            </w:tcBorders>
            <w:noWrap/>
            <w:vAlign w:val="center"/>
          </w:tcPr>
          <w:p w14:paraId="5B6CD753">
            <w:pPr>
              <w:widowControl/>
              <w:autoSpaceDE/>
              <w:autoSpaceDN/>
              <w:adjustRightInd/>
              <w:jc w:val="center"/>
              <w:rPr>
                <w:bCs/>
                <w:sz w:val="22"/>
                <w:szCs w:val="22"/>
              </w:rPr>
            </w:pPr>
            <w:r>
              <w:rPr>
                <w:bCs/>
                <w:sz w:val="22"/>
                <w:szCs w:val="22"/>
              </w:rPr>
              <w:t>308,9</w:t>
            </w:r>
          </w:p>
        </w:tc>
        <w:tc>
          <w:tcPr>
            <w:tcW w:w="1418" w:type="dxa"/>
            <w:tcBorders>
              <w:top w:val="single" w:color="auto" w:sz="4" w:space="0"/>
              <w:left w:val="single" w:color="auto" w:sz="4" w:space="0"/>
              <w:bottom w:val="single" w:color="auto" w:sz="4" w:space="0"/>
              <w:right w:val="single" w:color="auto" w:sz="4" w:space="0"/>
            </w:tcBorders>
            <w:noWrap/>
            <w:vAlign w:val="center"/>
          </w:tcPr>
          <w:p w14:paraId="798D62E4">
            <w:pPr>
              <w:widowControl/>
              <w:autoSpaceDE/>
              <w:autoSpaceDN/>
              <w:adjustRightInd/>
              <w:jc w:val="center"/>
              <w:rPr>
                <w:bCs/>
                <w:sz w:val="22"/>
                <w:szCs w:val="22"/>
              </w:rPr>
            </w:pPr>
            <w:r>
              <w:rPr>
                <w:bCs/>
                <w:sz w:val="22"/>
                <w:szCs w:val="22"/>
              </w:rPr>
              <w:t>308,9</w:t>
            </w:r>
          </w:p>
        </w:tc>
      </w:tr>
      <w:tr w14:paraId="6B0F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6936C983">
            <w:pPr>
              <w:widowControl/>
              <w:autoSpaceDE/>
              <w:autoSpaceDN/>
              <w:adjustRightInd/>
              <w:jc w:val="center"/>
              <w:rPr>
                <w:sz w:val="22"/>
                <w:szCs w:val="22"/>
              </w:rPr>
            </w:pPr>
            <w:r>
              <w:rPr>
                <w:sz w:val="22"/>
                <w:szCs w:val="22"/>
              </w:rPr>
              <w:t>1.1</w:t>
            </w:r>
          </w:p>
        </w:tc>
        <w:tc>
          <w:tcPr>
            <w:tcW w:w="4536" w:type="dxa"/>
            <w:tcBorders>
              <w:top w:val="single" w:color="auto" w:sz="4" w:space="0"/>
              <w:left w:val="single" w:color="auto" w:sz="4" w:space="0"/>
              <w:bottom w:val="single" w:color="auto" w:sz="4" w:space="0"/>
              <w:right w:val="single" w:color="auto" w:sz="4" w:space="0"/>
            </w:tcBorders>
            <w:noWrap/>
            <w:vAlign w:val="center"/>
          </w:tcPr>
          <w:p w14:paraId="75DD9E9F">
            <w:pPr>
              <w:widowControl/>
              <w:autoSpaceDE/>
              <w:autoSpaceDN/>
              <w:adjustRightInd/>
              <w:rPr>
                <w:sz w:val="22"/>
                <w:szCs w:val="22"/>
              </w:rPr>
            </w:pPr>
            <w:r>
              <w:rPr>
                <w:sz w:val="22"/>
                <w:szCs w:val="22"/>
              </w:rPr>
              <w:t>к предыдущему году (оценка),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521B3984">
            <w:pPr>
              <w:widowControl/>
              <w:autoSpaceDE/>
              <w:autoSpaceDN/>
              <w:adjustRightInd/>
              <w:jc w:val="center"/>
              <w:rPr>
                <w:sz w:val="22"/>
                <w:szCs w:val="22"/>
              </w:rPr>
            </w:pPr>
            <w:r>
              <w:rPr>
                <w:sz w:val="22"/>
                <w:szCs w:val="22"/>
              </w:rPr>
              <w:t>1 825,9</w:t>
            </w:r>
          </w:p>
        </w:tc>
        <w:tc>
          <w:tcPr>
            <w:tcW w:w="1418" w:type="dxa"/>
            <w:tcBorders>
              <w:top w:val="single" w:color="auto" w:sz="4" w:space="0"/>
              <w:left w:val="single" w:color="auto" w:sz="4" w:space="0"/>
              <w:bottom w:val="single" w:color="auto" w:sz="4" w:space="0"/>
              <w:right w:val="single" w:color="auto" w:sz="4" w:space="0"/>
            </w:tcBorders>
            <w:noWrap/>
            <w:vAlign w:val="center"/>
          </w:tcPr>
          <w:p w14:paraId="797A4B40">
            <w:pPr>
              <w:widowControl/>
              <w:autoSpaceDE/>
              <w:autoSpaceDN/>
              <w:adjustRightInd/>
              <w:jc w:val="center"/>
              <w:rPr>
                <w:rFonts w:hint="default"/>
                <w:sz w:val="22"/>
                <w:szCs w:val="22"/>
                <w:lang w:val="ru-RU"/>
              </w:rPr>
            </w:pPr>
            <w:r>
              <w:rPr>
                <w:rFonts w:hint="default"/>
                <w:sz w:val="22"/>
                <w:szCs w:val="22"/>
                <w:lang w:val="ru-RU"/>
              </w:rPr>
              <w:t>-2 150,3</w:t>
            </w:r>
          </w:p>
        </w:tc>
        <w:tc>
          <w:tcPr>
            <w:tcW w:w="1418" w:type="dxa"/>
            <w:tcBorders>
              <w:top w:val="single" w:color="auto" w:sz="4" w:space="0"/>
              <w:left w:val="single" w:color="auto" w:sz="4" w:space="0"/>
              <w:bottom w:val="single" w:color="auto" w:sz="4" w:space="0"/>
              <w:right w:val="single" w:color="auto" w:sz="4" w:space="0"/>
            </w:tcBorders>
            <w:noWrap/>
            <w:vAlign w:val="center"/>
          </w:tcPr>
          <w:p w14:paraId="63A5CF55">
            <w:pPr>
              <w:widowControl/>
              <w:autoSpaceDE/>
              <w:autoSpaceDN/>
              <w:adjustRightInd/>
              <w:jc w:val="center"/>
              <w:rPr>
                <w:sz w:val="22"/>
                <w:szCs w:val="22"/>
              </w:rPr>
            </w:pPr>
            <w:r>
              <w:rPr>
                <w:sz w:val="22"/>
                <w:szCs w:val="22"/>
              </w:rPr>
              <w:t>0</w:t>
            </w:r>
          </w:p>
        </w:tc>
      </w:tr>
      <w:tr w14:paraId="3429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5AC84656">
            <w:pPr>
              <w:widowControl/>
              <w:autoSpaceDE/>
              <w:autoSpaceDN/>
              <w:adjustRightInd/>
              <w:jc w:val="center"/>
              <w:rPr>
                <w:sz w:val="22"/>
                <w:szCs w:val="22"/>
              </w:rPr>
            </w:pPr>
            <w:r>
              <w:rPr>
                <w:sz w:val="22"/>
                <w:szCs w:val="22"/>
              </w:rPr>
              <w:t>1.2</w:t>
            </w:r>
          </w:p>
        </w:tc>
        <w:tc>
          <w:tcPr>
            <w:tcW w:w="4536" w:type="dxa"/>
            <w:tcBorders>
              <w:top w:val="single" w:color="auto" w:sz="4" w:space="0"/>
              <w:left w:val="single" w:color="auto" w:sz="4" w:space="0"/>
              <w:bottom w:val="single" w:color="auto" w:sz="4" w:space="0"/>
              <w:right w:val="single" w:color="auto" w:sz="4" w:space="0"/>
            </w:tcBorders>
            <w:noWrap/>
            <w:vAlign w:val="center"/>
          </w:tcPr>
          <w:p w14:paraId="503F48C1">
            <w:pPr>
              <w:widowControl/>
              <w:autoSpaceDE/>
              <w:autoSpaceDN/>
              <w:adjustRightInd/>
              <w:rPr>
                <w:sz w:val="22"/>
                <w:szCs w:val="22"/>
              </w:rPr>
            </w:pPr>
            <w:r>
              <w:rPr>
                <w:sz w:val="22"/>
                <w:szCs w:val="22"/>
              </w:rPr>
              <w:t>к предыдущему  году (оценка), %</w:t>
            </w:r>
          </w:p>
        </w:tc>
        <w:tc>
          <w:tcPr>
            <w:tcW w:w="1417" w:type="dxa"/>
            <w:tcBorders>
              <w:top w:val="single" w:color="auto" w:sz="4" w:space="0"/>
              <w:left w:val="single" w:color="auto" w:sz="4" w:space="0"/>
              <w:bottom w:val="single" w:color="auto" w:sz="4" w:space="0"/>
              <w:right w:val="single" w:color="auto" w:sz="4" w:space="0"/>
            </w:tcBorders>
            <w:noWrap/>
            <w:vAlign w:val="center"/>
          </w:tcPr>
          <w:p w14:paraId="26D6E317">
            <w:pPr>
              <w:widowControl/>
              <w:autoSpaceDE/>
              <w:autoSpaceDN/>
              <w:adjustRightInd/>
              <w:jc w:val="center"/>
              <w:rPr>
                <w:sz w:val="22"/>
                <w:szCs w:val="22"/>
              </w:rPr>
            </w:pPr>
            <w:r>
              <w:rPr>
                <w:sz w:val="22"/>
                <w:szCs w:val="22"/>
              </w:rPr>
              <w:t xml:space="preserve">  3,9 раза</w:t>
            </w:r>
          </w:p>
        </w:tc>
        <w:tc>
          <w:tcPr>
            <w:tcW w:w="1418" w:type="dxa"/>
            <w:tcBorders>
              <w:top w:val="single" w:color="auto" w:sz="4" w:space="0"/>
              <w:left w:val="single" w:color="auto" w:sz="4" w:space="0"/>
              <w:bottom w:val="single" w:color="auto" w:sz="4" w:space="0"/>
              <w:right w:val="single" w:color="auto" w:sz="4" w:space="0"/>
            </w:tcBorders>
            <w:noWrap/>
            <w:vAlign w:val="center"/>
          </w:tcPr>
          <w:p w14:paraId="1CD2AE11">
            <w:pPr>
              <w:widowControl/>
              <w:autoSpaceDE/>
              <w:autoSpaceDN/>
              <w:adjustRightInd/>
              <w:jc w:val="center"/>
              <w:rPr>
                <w:rFonts w:hint="default"/>
                <w:sz w:val="22"/>
                <w:szCs w:val="22"/>
                <w:lang w:val="ru-RU"/>
              </w:rPr>
            </w:pPr>
            <w:r>
              <w:rPr>
                <w:rFonts w:hint="default"/>
                <w:sz w:val="22"/>
                <w:szCs w:val="22"/>
                <w:lang w:val="ru-RU"/>
              </w:rPr>
              <w:t>12,6 раза</w:t>
            </w:r>
          </w:p>
        </w:tc>
        <w:tc>
          <w:tcPr>
            <w:tcW w:w="1418" w:type="dxa"/>
            <w:tcBorders>
              <w:top w:val="single" w:color="auto" w:sz="4" w:space="0"/>
              <w:left w:val="single" w:color="auto" w:sz="4" w:space="0"/>
              <w:bottom w:val="single" w:color="auto" w:sz="4" w:space="0"/>
              <w:right w:val="single" w:color="auto" w:sz="4" w:space="0"/>
            </w:tcBorders>
            <w:noWrap/>
            <w:vAlign w:val="center"/>
          </w:tcPr>
          <w:p w14:paraId="596C8B4E">
            <w:pPr>
              <w:widowControl/>
              <w:autoSpaceDE/>
              <w:autoSpaceDN/>
              <w:adjustRightInd/>
              <w:jc w:val="center"/>
              <w:rPr>
                <w:sz w:val="22"/>
                <w:szCs w:val="22"/>
              </w:rPr>
            </w:pPr>
            <w:r>
              <w:rPr>
                <w:sz w:val="22"/>
                <w:szCs w:val="22"/>
              </w:rPr>
              <w:t>0</w:t>
            </w:r>
          </w:p>
        </w:tc>
      </w:tr>
      <w:tr w14:paraId="7129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17" w:type="dxa"/>
            <w:tcBorders>
              <w:top w:val="single" w:color="auto" w:sz="4" w:space="0"/>
              <w:left w:val="single" w:color="auto" w:sz="4" w:space="0"/>
              <w:bottom w:val="single" w:color="auto" w:sz="4" w:space="0"/>
              <w:right w:val="single" w:color="auto" w:sz="4" w:space="0"/>
            </w:tcBorders>
            <w:noWrap/>
          </w:tcPr>
          <w:p w14:paraId="26EFC266">
            <w:pPr>
              <w:widowControl/>
              <w:autoSpaceDE/>
              <w:autoSpaceDN/>
              <w:adjustRightInd/>
              <w:jc w:val="center"/>
              <w:rPr>
                <w:sz w:val="22"/>
                <w:szCs w:val="22"/>
              </w:rPr>
            </w:pPr>
            <w:r>
              <w:rPr>
                <w:sz w:val="22"/>
                <w:szCs w:val="22"/>
              </w:rPr>
              <w:t>2.</w:t>
            </w:r>
          </w:p>
        </w:tc>
        <w:tc>
          <w:tcPr>
            <w:tcW w:w="8789" w:type="dxa"/>
            <w:gridSpan w:val="4"/>
            <w:tcBorders>
              <w:top w:val="single" w:color="auto" w:sz="4" w:space="0"/>
              <w:left w:val="single" w:color="auto" w:sz="4" w:space="0"/>
              <w:bottom w:val="single" w:color="auto" w:sz="4" w:space="0"/>
              <w:right w:val="single" w:color="auto" w:sz="4" w:space="0"/>
            </w:tcBorders>
            <w:noWrap/>
          </w:tcPr>
          <w:p w14:paraId="57018A76">
            <w:pPr>
              <w:widowControl/>
              <w:autoSpaceDE/>
              <w:autoSpaceDN/>
              <w:adjustRightInd/>
              <w:rPr>
                <w:sz w:val="22"/>
                <w:szCs w:val="22"/>
                <w:highlight w:val="yellow"/>
              </w:rPr>
            </w:pPr>
            <w:r>
              <w:rPr>
                <w:sz w:val="22"/>
                <w:szCs w:val="22"/>
              </w:rPr>
              <w:t>Ожидаемая оценка поступлений 20</w:t>
            </w:r>
            <w:r>
              <w:rPr>
                <w:sz w:val="22"/>
                <w:szCs w:val="22"/>
                <w:lang w:val="en-US"/>
              </w:rPr>
              <w:t>2</w:t>
            </w:r>
            <w:r>
              <w:rPr>
                <w:sz w:val="22"/>
                <w:szCs w:val="22"/>
              </w:rPr>
              <w:t>5 года</w:t>
            </w:r>
          </w:p>
        </w:tc>
      </w:tr>
      <w:tr w14:paraId="36CA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671F0C92">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2D322245">
            <w:pPr>
              <w:widowControl/>
              <w:autoSpaceDE/>
              <w:autoSpaceDN/>
              <w:adjustRightInd/>
              <w:rPr>
                <w:sz w:val="22"/>
                <w:szCs w:val="22"/>
              </w:rPr>
            </w:pPr>
            <w:r>
              <w:rPr>
                <w:sz w:val="22"/>
                <w:szCs w:val="22"/>
              </w:rPr>
              <w:t>по данным проекта бюджета,</w:t>
            </w:r>
          </w:p>
          <w:p w14:paraId="775973C0">
            <w:pPr>
              <w:widowControl/>
              <w:autoSpaceDE/>
              <w:autoSpaceDN/>
              <w:adjustRightInd/>
              <w:rPr>
                <w:sz w:val="22"/>
                <w:szCs w:val="22"/>
              </w:rPr>
            </w:pPr>
            <w:r>
              <w:rPr>
                <w:sz w:val="22"/>
                <w:szCs w:val="22"/>
              </w:rPr>
              <w:t>тыс. рублей</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3DBA7FEA">
            <w:pPr>
              <w:widowControl/>
              <w:autoSpaceDE/>
              <w:autoSpaceDN/>
              <w:adjustRightInd/>
              <w:rPr>
                <w:sz w:val="22"/>
                <w:szCs w:val="22"/>
                <w:highlight w:val="yellow"/>
              </w:rPr>
            </w:pPr>
            <w:r>
              <w:rPr>
                <w:sz w:val="22"/>
                <w:szCs w:val="22"/>
              </w:rPr>
              <w:t>633,3</w:t>
            </w:r>
          </w:p>
        </w:tc>
      </w:tr>
      <w:tr w14:paraId="158B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0190435A">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167482FA">
            <w:pPr>
              <w:widowControl/>
              <w:autoSpaceDE/>
              <w:autoSpaceDN/>
              <w:adjustRightInd/>
              <w:rPr>
                <w:sz w:val="22"/>
                <w:szCs w:val="22"/>
              </w:rPr>
            </w:pPr>
            <w:r>
              <w:rPr>
                <w:sz w:val="22"/>
                <w:szCs w:val="22"/>
              </w:rPr>
              <w:t>Факт 2024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0ED17BE7">
            <w:pPr>
              <w:widowControl/>
              <w:autoSpaceDE/>
              <w:autoSpaceDN/>
              <w:adjustRightInd/>
              <w:rPr>
                <w:sz w:val="22"/>
                <w:szCs w:val="22"/>
              </w:rPr>
            </w:pPr>
            <w:r>
              <w:rPr>
                <w:sz w:val="22"/>
                <w:szCs w:val="22"/>
              </w:rPr>
              <w:t>744,8</w:t>
            </w:r>
          </w:p>
        </w:tc>
      </w:tr>
      <w:tr w14:paraId="61CB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1259F042">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1F62BF2D">
            <w:pPr>
              <w:widowControl/>
              <w:autoSpaceDE/>
              <w:autoSpaceDN/>
              <w:adjustRightInd/>
              <w:rPr>
                <w:sz w:val="22"/>
                <w:szCs w:val="22"/>
              </w:rPr>
            </w:pPr>
            <w:r>
              <w:rPr>
                <w:sz w:val="22"/>
                <w:szCs w:val="22"/>
              </w:rPr>
              <w:t>Факт 2023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2A4CDD1B">
            <w:pPr>
              <w:widowControl/>
              <w:autoSpaceDE/>
              <w:autoSpaceDN/>
              <w:adjustRightInd/>
              <w:rPr>
                <w:sz w:val="22"/>
                <w:szCs w:val="22"/>
              </w:rPr>
            </w:pPr>
            <w:r>
              <w:rPr>
                <w:sz w:val="22"/>
                <w:szCs w:val="22"/>
              </w:rPr>
              <w:t>533,2</w:t>
            </w:r>
          </w:p>
        </w:tc>
      </w:tr>
    </w:tbl>
    <w:p w14:paraId="2A4BDA17">
      <w:pPr>
        <w:pStyle w:val="8"/>
        <w:shd w:val="clear" w:color="auto" w:fill="auto"/>
        <w:spacing w:before="0" w:after="0" w:line="276" w:lineRule="auto"/>
        <w:ind w:right="20" w:firstLine="426"/>
        <w:jc w:val="both"/>
        <w:rPr>
          <w:rFonts w:ascii="Times New Roman" w:hAnsi="Times New Roman"/>
          <w:sz w:val="24"/>
          <w:szCs w:val="24"/>
        </w:rPr>
      </w:pPr>
      <w:r>
        <w:rPr>
          <w:rFonts w:ascii="Times New Roman" w:hAnsi="Times New Roman"/>
          <w:sz w:val="24"/>
          <w:szCs w:val="24"/>
        </w:rPr>
        <w:t>Доходы от реализации имущества, находящегося в собственности  муниципального округа, предусмотрены в сумме 2 459,2 тыс. рублей, больше на 1 825,9 тыс. рублей прогнозируемого уровня  исполнения за 2025 год.</w:t>
      </w:r>
    </w:p>
    <w:p w14:paraId="3AFA7A4D">
      <w:pPr>
        <w:widowControl/>
        <w:autoSpaceDE/>
        <w:autoSpaceDN/>
        <w:adjustRightInd/>
        <w:spacing w:line="360" w:lineRule="auto"/>
        <w:ind w:left="142"/>
        <w:rPr>
          <w:sz w:val="24"/>
          <w:szCs w:val="24"/>
        </w:rPr>
      </w:pPr>
    </w:p>
    <w:p w14:paraId="36329C90">
      <w:pPr>
        <w:widowControl/>
        <w:autoSpaceDE/>
        <w:autoSpaceDN/>
        <w:adjustRightInd/>
        <w:spacing w:line="360" w:lineRule="auto"/>
        <w:ind w:left="142"/>
        <w:rPr>
          <w:sz w:val="24"/>
          <w:szCs w:val="24"/>
        </w:rPr>
      </w:pPr>
      <w:r>
        <w:rPr>
          <w:sz w:val="24"/>
          <w:szCs w:val="24"/>
        </w:rPr>
        <w:t xml:space="preserve">       Динамика доходов от уплаты за негативное воздействие на окружающую среду   в 2026-2028 годах приведена ниже в таблице:</w:t>
      </w:r>
    </w:p>
    <w:tbl>
      <w:tblPr>
        <w:tblStyle w:val="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536"/>
        <w:gridCol w:w="1417"/>
        <w:gridCol w:w="1418"/>
        <w:gridCol w:w="1418"/>
      </w:tblGrid>
      <w:tr w14:paraId="593E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17" w:type="dxa"/>
            <w:tcBorders>
              <w:top w:val="single" w:color="auto" w:sz="4" w:space="0"/>
              <w:left w:val="single" w:color="auto" w:sz="4" w:space="0"/>
              <w:bottom w:val="single" w:color="auto" w:sz="4" w:space="0"/>
              <w:right w:val="single" w:color="auto" w:sz="4" w:space="0"/>
            </w:tcBorders>
            <w:noWrap/>
            <w:vAlign w:val="bottom"/>
          </w:tcPr>
          <w:p w14:paraId="4EAD09D1">
            <w:pPr>
              <w:widowControl/>
              <w:autoSpaceDE/>
              <w:autoSpaceDN/>
              <w:adjustRightInd/>
              <w:jc w:val="center"/>
              <w:rPr>
                <w:bCs/>
                <w:sz w:val="22"/>
                <w:szCs w:val="22"/>
              </w:rPr>
            </w:pPr>
          </w:p>
        </w:tc>
        <w:tc>
          <w:tcPr>
            <w:tcW w:w="4536" w:type="dxa"/>
            <w:tcBorders>
              <w:top w:val="single" w:color="auto" w:sz="4" w:space="0"/>
              <w:left w:val="single" w:color="auto" w:sz="4" w:space="0"/>
              <w:bottom w:val="single" w:color="auto" w:sz="4" w:space="0"/>
              <w:right w:val="single" w:color="auto" w:sz="4" w:space="0"/>
            </w:tcBorders>
            <w:noWrap/>
            <w:vAlign w:val="center"/>
          </w:tcPr>
          <w:p w14:paraId="5F5E7808">
            <w:pPr>
              <w:widowControl/>
              <w:autoSpaceDE/>
              <w:autoSpaceDN/>
              <w:adjustRightInd/>
              <w:rPr>
                <w:b/>
                <w:sz w:val="22"/>
                <w:szCs w:val="22"/>
              </w:rPr>
            </w:pPr>
            <w:r>
              <w:rPr>
                <w:sz w:val="24"/>
                <w:szCs w:val="24"/>
              </w:rPr>
              <w:t>Плата за негативное воздействие на окружающую среду</w:t>
            </w:r>
          </w:p>
        </w:tc>
        <w:tc>
          <w:tcPr>
            <w:tcW w:w="1417" w:type="dxa"/>
            <w:tcBorders>
              <w:top w:val="single" w:color="auto" w:sz="4" w:space="0"/>
              <w:left w:val="single" w:color="auto" w:sz="4" w:space="0"/>
              <w:bottom w:val="single" w:color="auto" w:sz="4" w:space="0"/>
              <w:right w:val="single" w:color="auto" w:sz="4" w:space="0"/>
            </w:tcBorders>
            <w:noWrap/>
            <w:vAlign w:val="center"/>
          </w:tcPr>
          <w:p w14:paraId="462FB455">
            <w:pPr>
              <w:widowControl/>
              <w:autoSpaceDE/>
              <w:autoSpaceDN/>
              <w:adjustRightInd/>
              <w:jc w:val="center"/>
              <w:rPr>
                <w:b/>
                <w:bCs/>
                <w:sz w:val="22"/>
                <w:szCs w:val="22"/>
              </w:rPr>
            </w:pPr>
            <w:r>
              <w:rPr>
                <w:b/>
                <w:sz w:val="22"/>
                <w:szCs w:val="22"/>
              </w:rPr>
              <w:t>2026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2F25EA29">
            <w:pPr>
              <w:widowControl/>
              <w:autoSpaceDE/>
              <w:autoSpaceDN/>
              <w:adjustRightInd/>
              <w:jc w:val="center"/>
              <w:rPr>
                <w:b/>
                <w:bCs/>
                <w:sz w:val="22"/>
                <w:szCs w:val="22"/>
              </w:rPr>
            </w:pPr>
            <w:r>
              <w:rPr>
                <w:b/>
                <w:sz w:val="22"/>
                <w:szCs w:val="22"/>
              </w:rPr>
              <w:t>2027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5C94F318">
            <w:pPr>
              <w:widowControl/>
              <w:autoSpaceDE/>
              <w:autoSpaceDN/>
              <w:adjustRightInd/>
              <w:jc w:val="center"/>
              <w:rPr>
                <w:b/>
                <w:bCs/>
                <w:sz w:val="22"/>
                <w:szCs w:val="22"/>
              </w:rPr>
            </w:pPr>
            <w:r>
              <w:rPr>
                <w:b/>
                <w:sz w:val="22"/>
                <w:szCs w:val="22"/>
              </w:rPr>
              <w:t>2028 год</w:t>
            </w:r>
          </w:p>
        </w:tc>
      </w:tr>
      <w:tr w14:paraId="0A3E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tcBorders>
              <w:top w:val="single" w:color="auto" w:sz="4" w:space="0"/>
              <w:left w:val="single" w:color="auto" w:sz="4" w:space="0"/>
              <w:bottom w:val="single" w:color="auto" w:sz="4" w:space="0"/>
              <w:right w:val="single" w:color="auto" w:sz="4" w:space="0"/>
            </w:tcBorders>
            <w:noWrap/>
          </w:tcPr>
          <w:p w14:paraId="5A91A462">
            <w:pPr>
              <w:widowControl/>
              <w:autoSpaceDE/>
              <w:autoSpaceDN/>
              <w:adjustRightInd/>
              <w:jc w:val="center"/>
              <w:rPr>
                <w:bCs/>
                <w:sz w:val="22"/>
                <w:szCs w:val="22"/>
              </w:rPr>
            </w:pPr>
            <w:r>
              <w:rPr>
                <w:bCs/>
                <w:sz w:val="22"/>
                <w:szCs w:val="22"/>
              </w:rPr>
              <w:t>1.</w:t>
            </w:r>
          </w:p>
        </w:tc>
        <w:tc>
          <w:tcPr>
            <w:tcW w:w="4536" w:type="dxa"/>
            <w:tcBorders>
              <w:top w:val="single" w:color="auto" w:sz="4" w:space="0"/>
              <w:left w:val="single" w:color="auto" w:sz="4" w:space="0"/>
              <w:bottom w:val="single" w:color="auto" w:sz="4" w:space="0"/>
              <w:right w:val="single" w:color="auto" w:sz="4" w:space="0"/>
            </w:tcBorders>
            <w:noWrap/>
            <w:vAlign w:val="center"/>
          </w:tcPr>
          <w:p w14:paraId="205C1A5F">
            <w:pPr>
              <w:widowControl/>
              <w:autoSpaceDE/>
              <w:autoSpaceDN/>
              <w:adjustRightInd/>
              <w:rPr>
                <w:bCs/>
                <w:sz w:val="22"/>
                <w:szCs w:val="22"/>
              </w:rPr>
            </w:pPr>
            <w:r>
              <w:rPr>
                <w:bCs/>
                <w:sz w:val="22"/>
                <w:szCs w:val="22"/>
              </w:rPr>
              <w:t>Проект бюджета  (20246–2028 гг.),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086C6F07">
            <w:pPr>
              <w:widowControl/>
              <w:autoSpaceDE/>
              <w:autoSpaceDN/>
              <w:adjustRightInd/>
              <w:jc w:val="center"/>
              <w:rPr>
                <w:bCs/>
                <w:sz w:val="22"/>
                <w:szCs w:val="22"/>
              </w:rPr>
            </w:pPr>
            <w:r>
              <w:rPr>
                <w:bCs/>
                <w:sz w:val="22"/>
                <w:szCs w:val="22"/>
              </w:rPr>
              <w:t>0</w:t>
            </w:r>
          </w:p>
        </w:tc>
        <w:tc>
          <w:tcPr>
            <w:tcW w:w="1418" w:type="dxa"/>
            <w:tcBorders>
              <w:top w:val="single" w:color="auto" w:sz="4" w:space="0"/>
              <w:left w:val="single" w:color="auto" w:sz="4" w:space="0"/>
              <w:bottom w:val="single" w:color="auto" w:sz="4" w:space="0"/>
              <w:right w:val="single" w:color="auto" w:sz="4" w:space="0"/>
            </w:tcBorders>
            <w:noWrap/>
            <w:vAlign w:val="center"/>
          </w:tcPr>
          <w:p w14:paraId="42EC2214">
            <w:pPr>
              <w:widowControl/>
              <w:autoSpaceDE/>
              <w:autoSpaceDN/>
              <w:adjustRightInd/>
              <w:jc w:val="center"/>
              <w:rPr>
                <w:bCs/>
                <w:sz w:val="22"/>
                <w:szCs w:val="22"/>
              </w:rPr>
            </w:pPr>
            <w:r>
              <w:rPr>
                <w:bCs/>
                <w:sz w:val="22"/>
                <w:szCs w:val="22"/>
              </w:rPr>
              <w:t>52,7</w:t>
            </w:r>
          </w:p>
        </w:tc>
        <w:tc>
          <w:tcPr>
            <w:tcW w:w="1418" w:type="dxa"/>
            <w:tcBorders>
              <w:top w:val="single" w:color="auto" w:sz="4" w:space="0"/>
              <w:left w:val="single" w:color="auto" w:sz="4" w:space="0"/>
              <w:bottom w:val="single" w:color="auto" w:sz="4" w:space="0"/>
              <w:right w:val="single" w:color="auto" w:sz="4" w:space="0"/>
            </w:tcBorders>
            <w:noWrap/>
            <w:vAlign w:val="center"/>
          </w:tcPr>
          <w:p w14:paraId="77E43E7E">
            <w:pPr>
              <w:widowControl/>
              <w:autoSpaceDE/>
              <w:autoSpaceDN/>
              <w:adjustRightInd/>
              <w:jc w:val="center"/>
              <w:rPr>
                <w:bCs/>
                <w:sz w:val="22"/>
                <w:szCs w:val="22"/>
              </w:rPr>
            </w:pPr>
            <w:r>
              <w:rPr>
                <w:bCs/>
                <w:sz w:val="22"/>
                <w:szCs w:val="22"/>
              </w:rPr>
              <w:t>52,7</w:t>
            </w:r>
          </w:p>
        </w:tc>
      </w:tr>
      <w:tr w14:paraId="1E08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13AF7B9B">
            <w:pPr>
              <w:widowControl/>
              <w:autoSpaceDE/>
              <w:autoSpaceDN/>
              <w:adjustRightInd/>
              <w:jc w:val="center"/>
              <w:rPr>
                <w:sz w:val="22"/>
                <w:szCs w:val="22"/>
              </w:rPr>
            </w:pPr>
            <w:r>
              <w:rPr>
                <w:sz w:val="22"/>
                <w:szCs w:val="22"/>
              </w:rPr>
              <w:t>1.1</w:t>
            </w:r>
          </w:p>
        </w:tc>
        <w:tc>
          <w:tcPr>
            <w:tcW w:w="4536" w:type="dxa"/>
            <w:tcBorders>
              <w:top w:val="single" w:color="auto" w:sz="4" w:space="0"/>
              <w:left w:val="single" w:color="auto" w:sz="4" w:space="0"/>
              <w:bottom w:val="single" w:color="auto" w:sz="4" w:space="0"/>
              <w:right w:val="single" w:color="auto" w:sz="4" w:space="0"/>
            </w:tcBorders>
            <w:noWrap/>
            <w:vAlign w:val="center"/>
          </w:tcPr>
          <w:p w14:paraId="4E25B1B0">
            <w:pPr>
              <w:widowControl/>
              <w:autoSpaceDE/>
              <w:autoSpaceDN/>
              <w:adjustRightInd/>
              <w:rPr>
                <w:sz w:val="22"/>
                <w:szCs w:val="22"/>
              </w:rPr>
            </w:pPr>
            <w:r>
              <w:rPr>
                <w:sz w:val="22"/>
                <w:szCs w:val="22"/>
              </w:rPr>
              <w:t>к предыдущему году (оценка),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171E989D">
            <w:pPr>
              <w:widowControl/>
              <w:autoSpaceDE/>
              <w:autoSpaceDN/>
              <w:adjustRightInd/>
              <w:rPr>
                <w:sz w:val="22"/>
                <w:szCs w:val="22"/>
              </w:rPr>
            </w:pPr>
            <w:r>
              <w:rPr>
                <w:sz w:val="22"/>
                <w:szCs w:val="22"/>
              </w:rPr>
              <w:t>-1 952,6</w:t>
            </w:r>
          </w:p>
        </w:tc>
        <w:tc>
          <w:tcPr>
            <w:tcW w:w="1418" w:type="dxa"/>
            <w:tcBorders>
              <w:top w:val="single" w:color="auto" w:sz="4" w:space="0"/>
              <w:left w:val="single" w:color="auto" w:sz="4" w:space="0"/>
              <w:bottom w:val="single" w:color="auto" w:sz="4" w:space="0"/>
              <w:right w:val="single" w:color="auto" w:sz="4" w:space="0"/>
            </w:tcBorders>
            <w:noWrap/>
            <w:vAlign w:val="center"/>
          </w:tcPr>
          <w:p w14:paraId="0BD17330">
            <w:pPr>
              <w:widowControl/>
              <w:autoSpaceDE/>
              <w:autoSpaceDN/>
              <w:adjustRightInd/>
              <w:jc w:val="center"/>
              <w:rPr>
                <w:sz w:val="22"/>
                <w:szCs w:val="22"/>
              </w:rPr>
            </w:pPr>
            <w:r>
              <w:rPr>
                <w:sz w:val="22"/>
                <w:szCs w:val="22"/>
              </w:rPr>
              <w:t>52,7</w:t>
            </w:r>
          </w:p>
        </w:tc>
        <w:tc>
          <w:tcPr>
            <w:tcW w:w="1418" w:type="dxa"/>
            <w:tcBorders>
              <w:top w:val="single" w:color="auto" w:sz="4" w:space="0"/>
              <w:left w:val="single" w:color="auto" w:sz="4" w:space="0"/>
              <w:bottom w:val="single" w:color="auto" w:sz="4" w:space="0"/>
              <w:right w:val="single" w:color="auto" w:sz="4" w:space="0"/>
            </w:tcBorders>
            <w:noWrap/>
            <w:vAlign w:val="center"/>
          </w:tcPr>
          <w:p w14:paraId="7D3CBC18">
            <w:pPr>
              <w:widowControl/>
              <w:autoSpaceDE/>
              <w:autoSpaceDN/>
              <w:adjustRightInd/>
              <w:jc w:val="center"/>
              <w:rPr>
                <w:sz w:val="22"/>
                <w:szCs w:val="22"/>
              </w:rPr>
            </w:pPr>
            <w:r>
              <w:rPr>
                <w:sz w:val="22"/>
                <w:szCs w:val="22"/>
              </w:rPr>
              <w:t>0</w:t>
            </w:r>
          </w:p>
        </w:tc>
      </w:tr>
      <w:tr w14:paraId="2DFD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5662A222">
            <w:pPr>
              <w:widowControl/>
              <w:autoSpaceDE/>
              <w:autoSpaceDN/>
              <w:adjustRightInd/>
              <w:jc w:val="center"/>
              <w:rPr>
                <w:sz w:val="22"/>
                <w:szCs w:val="22"/>
              </w:rPr>
            </w:pPr>
            <w:r>
              <w:rPr>
                <w:sz w:val="22"/>
                <w:szCs w:val="22"/>
              </w:rPr>
              <w:t>1.2</w:t>
            </w:r>
          </w:p>
        </w:tc>
        <w:tc>
          <w:tcPr>
            <w:tcW w:w="4536" w:type="dxa"/>
            <w:tcBorders>
              <w:top w:val="single" w:color="auto" w:sz="4" w:space="0"/>
              <w:left w:val="single" w:color="auto" w:sz="4" w:space="0"/>
              <w:bottom w:val="single" w:color="auto" w:sz="4" w:space="0"/>
              <w:right w:val="single" w:color="auto" w:sz="4" w:space="0"/>
            </w:tcBorders>
            <w:noWrap/>
            <w:vAlign w:val="center"/>
          </w:tcPr>
          <w:p w14:paraId="20F2D2B6">
            <w:pPr>
              <w:widowControl/>
              <w:autoSpaceDE/>
              <w:autoSpaceDN/>
              <w:adjustRightInd/>
              <w:rPr>
                <w:sz w:val="22"/>
                <w:szCs w:val="22"/>
              </w:rPr>
            </w:pPr>
            <w:r>
              <w:rPr>
                <w:sz w:val="22"/>
                <w:szCs w:val="22"/>
              </w:rPr>
              <w:t>к предыдущему  году (оценка), %</w:t>
            </w:r>
          </w:p>
        </w:tc>
        <w:tc>
          <w:tcPr>
            <w:tcW w:w="1417" w:type="dxa"/>
            <w:tcBorders>
              <w:top w:val="single" w:color="auto" w:sz="4" w:space="0"/>
              <w:left w:val="single" w:color="auto" w:sz="4" w:space="0"/>
              <w:bottom w:val="single" w:color="auto" w:sz="4" w:space="0"/>
              <w:right w:val="single" w:color="auto" w:sz="4" w:space="0"/>
            </w:tcBorders>
            <w:noWrap/>
            <w:vAlign w:val="center"/>
          </w:tcPr>
          <w:p w14:paraId="1E8A5A39">
            <w:pPr>
              <w:widowControl/>
              <w:autoSpaceDE/>
              <w:autoSpaceDN/>
              <w:adjustRightInd/>
              <w:ind w:firstLine="440" w:firstLineChars="200"/>
              <w:rPr>
                <w:rFonts w:hint="default"/>
                <w:sz w:val="22"/>
                <w:szCs w:val="22"/>
                <w:lang w:val="ru-RU"/>
              </w:rPr>
            </w:pPr>
            <w:r>
              <w:rPr>
                <w:rFonts w:hint="default"/>
                <w:sz w:val="22"/>
                <w:szCs w:val="22"/>
                <w:lang w:val="ru-RU"/>
              </w:rPr>
              <w:t>х</w:t>
            </w:r>
          </w:p>
        </w:tc>
        <w:tc>
          <w:tcPr>
            <w:tcW w:w="1418" w:type="dxa"/>
            <w:tcBorders>
              <w:top w:val="single" w:color="auto" w:sz="4" w:space="0"/>
              <w:left w:val="single" w:color="auto" w:sz="4" w:space="0"/>
              <w:bottom w:val="single" w:color="auto" w:sz="4" w:space="0"/>
              <w:right w:val="single" w:color="auto" w:sz="4" w:space="0"/>
            </w:tcBorders>
            <w:noWrap/>
            <w:vAlign w:val="center"/>
          </w:tcPr>
          <w:p w14:paraId="3CB408D6">
            <w:pPr>
              <w:widowControl/>
              <w:autoSpaceDE/>
              <w:autoSpaceDN/>
              <w:adjustRightInd/>
              <w:jc w:val="center"/>
              <w:rPr>
                <w:sz w:val="22"/>
                <w:szCs w:val="22"/>
              </w:rPr>
            </w:pPr>
            <w:r>
              <w:rPr>
                <w:sz w:val="22"/>
                <w:szCs w:val="22"/>
              </w:rPr>
              <w:t>0</w:t>
            </w:r>
          </w:p>
        </w:tc>
        <w:tc>
          <w:tcPr>
            <w:tcW w:w="1418" w:type="dxa"/>
            <w:tcBorders>
              <w:top w:val="single" w:color="auto" w:sz="4" w:space="0"/>
              <w:left w:val="single" w:color="auto" w:sz="4" w:space="0"/>
              <w:bottom w:val="single" w:color="auto" w:sz="4" w:space="0"/>
              <w:right w:val="single" w:color="auto" w:sz="4" w:space="0"/>
            </w:tcBorders>
            <w:noWrap/>
            <w:vAlign w:val="center"/>
          </w:tcPr>
          <w:p w14:paraId="61C3C232">
            <w:pPr>
              <w:widowControl/>
              <w:autoSpaceDE/>
              <w:autoSpaceDN/>
              <w:adjustRightInd/>
              <w:jc w:val="center"/>
              <w:rPr>
                <w:sz w:val="22"/>
                <w:szCs w:val="22"/>
              </w:rPr>
            </w:pPr>
            <w:r>
              <w:rPr>
                <w:sz w:val="22"/>
                <w:szCs w:val="22"/>
              </w:rPr>
              <w:t>0</w:t>
            </w:r>
          </w:p>
        </w:tc>
      </w:tr>
      <w:tr w14:paraId="6EB1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17" w:type="dxa"/>
            <w:tcBorders>
              <w:top w:val="single" w:color="auto" w:sz="4" w:space="0"/>
              <w:left w:val="single" w:color="auto" w:sz="4" w:space="0"/>
              <w:bottom w:val="single" w:color="auto" w:sz="4" w:space="0"/>
              <w:right w:val="single" w:color="auto" w:sz="4" w:space="0"/>
            </w:tcBorders>
            <w:noWrap/>
          </w:tcPr>
          <w:p w14:paraId="0125B73B">
            <w:pPr>
              <w:widowControl/>
              <w:autoSpaceDE/>
              <w:autoSpaceDN/>
              <w:adjustRightInd/>
              <w:jc w:val="center"/>
              <w:rPr>
                <w:sz w:val="22"/>
                <w:szCs w:val="22"/>
              </w:rPr>
            </w:pPr>
            <w:r>
              <w:rPr>
                <w:sz w:val="22"/>
                <w:szCs w:val="22"/>
              </w:rPr>
              <w:t>2.</w:t>
            </w:r>
          </w:p>
        </w:tc>
        <w:tc>
          <w:tcPr>
            <w:tcW w:w="8789" w:type="dxa"/>
            <w:gridSpan w:val="4"/>
            <w:tcBorders>
              <w:top w:val="single" w:color="auto" w:sz="4" w:space="0"/>
              <w:left w:val="single" w:color="auto" w:sz="4" w:space="0"/>
              <w:bottom w:val="single" w:color="auto" w:sz="4" w:space="0"/>
              <w:right w:val="single" w:color="auto" w:sz="4" w:space="0"/>
            </w:tcBorders>
            <w:noWrap/>
          </w:tcPr>
          <w:p w14:paraId="1EF31679">
            <w:pPr>
              <w:widowControl/>
              <w:autoSpaceDE/>
              <w:autoSpaceDN/>
              <w:adjustRightInd/>
              <w:rPr>
                <w:sz w:val="22"/>
                <w:szCs w:val="22"/>
                <w:highlight w:val="yellow"/>
              </w:rPr>
            </w:pPr>
            <w:r>
              <w:rPr>
                <w:sz w:val="22"/>
                <w:szCs w:val="22"/>
              </w:rPr>
              <w:t>Ожидаемая оценка поступлений 20</w:t>
            </w:r>
            <w:r>
              <w:rPr>
                <w:sz w:val="22"/>
                <w:szCs w:val="22"/>
                <w:lang w:val="en-US"/>
              </w:rPr>
              <w:t>2</w:t>
            </w:r>
            <w:r>
              <w:rPr>
                <w:sz w:val="22"/>
                <w:szCs w:val="22"/>
              </w:rPr>
              <w:t>5 года</w:t>
            </w:r>
          </w:p>
        </w:tc>
      </w:tr>
      <w:tr w14:paraId="606A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36A1AB27">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732FDA25">
            <w:pPr>
              <w:widowControl/>
              <w:autoSpaceDE/>
              <w:autoSpaceDN/>
              <w:adjustRightInd/>
              <w:rPr>
                <w:sz w:val="22"/>
                <w:szCs w:val="22"/>
              </w:rPr>
            </w:pPr>
            <w:r>
              <w:rPr>
                <w:sz w:val="22"/>
                <w:szCs w:val="22"/>
              </w:rPr>
              <w:t>по данным проекта бюджета,</w:t>
            </w:r>
          </w:p>
          <w:p w14:paraId="0DD0BBA0">
            <w:pPr>
              <w:widowControl/>
              <w:autoSpaceDE/>
              <w:autoSpaceDN/>
              <w:adjustRightInd/>
              <w:rPr>
                <w:sz w:val="22"/>
                <w:szCs w:val="22"/>
              </w:rPr>
            </w:pPr>
            <w:r>
              <w:rPr>
                <w:sz w:val="22"/>
                <w:szCs w:val="22"/>
              </w:rPr>
              <w:t>тыс. рублей</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1BBA981C">
            <w:pPr>
              <w:widowControl/>
              <w:autoSpaceDE/>
              <w:autoSpaceDN/>
              <w:adjustRightInd/>
              <w:rPr>
                <w:sz w:val="22"/>
                <w:szCs w:val="22"/>
                <w:highlight w:val="yellow"/>
              </w:rPr>
            </w:pPr>
            <w:r>
              <w:rPr>
                <w:sz w:val="22"/>
                <w:szCs w:val="22"/>
              </w:rPr>
              <w:t>1 952,6</w:t>
            </w:r>
          </w:p>
        </w:tc>
      </w:tr>
      <w:tr w14:paraId="26D4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615C6259">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3035CE71">
            <w:pPr>
              <w:widowControl/>
              <w:autoSpaceDE/>
              <w:autoSpaceDN/>
              <w:adjustRightInd/>
              <w:rPr>
                <w:sz w:val="22"/>
                <w:szCs w:val="22"/>
              </w:rPr>
            </w:pPr>
            <w:r>
              <w:rPr>
                <w:sz w:val="22"/>
                <w:szCs w:val="22"/>
              </w:rPr>
              <w:t>Факт 2024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1B3DA44A">
            <w:pPr>
              <w:widowControl/>
              <w:autoSpaceDE/>
              <w:autoSpaceDN/>
              <w:adjustRightInd/>
              <w:rPr>
                <w:sz w:val="22"/>
                <w:szCs w:val="22"/>
              </w:rPr>
            </w:pPr>
            <w:r>
              <w:rPr>
                <w:sz w:val="22"/>
                <w:szCs w:val="22"/>
              </w:rPr>
              <w:t>315,4</w:t>
            </w:r>
          </w:p>
        </w:tc>
      </w:tr>
      <w:tr w14:paraId="15D2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3B6E6A05">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15E604A8">
            <w:pPr>
              <w:widowControl/>
              <w:autoSpaceDE/>
              <w:autoSpaceDN/>
              <w:adjustRightInd/>
              <w:rPr>
                <w:sz w:val="22"/>
                <w:szCs w:val="22"/>
              </w:rPr>
            </w:pPr>
            <w:r>
              <w:rPr>
                <w:sz w:val="22"/>
                <w:szCs w:val="22"/>
              </w:rPr>
              <w:t>Факт 2023год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344D5568">
            <w:pPr>
              <w:widowControl/>
              <w:autoSpaceDE/>
              <w:autoSpaceDN/>
              <w:adjustRightInd/>
              <w:rPr>
                <w:sz w:val="22"/>
                <w:szCs w:val="22"/>
              </w:rPr>
            </w:pPr>
            <w:r>
              <w:rPr>
                <w:sz w:val="22"/>
                <w:szCs w:val="22"/>
              </w:rPr>
              <w:t>654,1</w:t>
            </w:r>
          </w:p>
        </w:tc>
      </w:tr>
    </w:tbl>
    <w:p w14:paraId="2C6F3493">
      <w:pPr>
        <w:pStyle w:val="8"/>
        <w:shd w:val="clear" w:color="auto" w:fill="auto"/>
        <w:spacing w:before="0" w:after="0" w:line="276" w:lineRule="auto"/>
        <w:ind w:right="20" w:firstLine="426"/>
        <w:jc w:val="both"/>
        <w:rPr>
          <w:rFonts w:ascii="Times New Roman" w:hAnsi="Times New Roman"/>
          <w:sz w:val="24"/>
          <w:szCs w:val="24"/>
        </w:rPr>
      </w:pPr>
      <w:r>
        <w:rPr>
          <w:rFonts w:ascii="Times New Roman" w:hAnsi="Times New Roman"/>
          <w:sz w:val="24"/>
          <w:szCs w:val="24"/>
        </w:rPr>
        <w:t>Плата за негативное воздействие на окружающую среду не запланирована на 2026 год, с 2026 года доходы будут поступать в региональный бюджет.</w:t>
      </w:r>
    </w:p>
    <w:p w14:paraId="4140B342">
      <w:pPr>
        <w:widowControl/>
        <w:autoSpaceDE/>
        <w:autoSpaceDN/>
        <w:adjustRightInd/>
        <w:spacing w:line="360" w:lineRule="auto"/>
        <w:ind w:left="142"/>
        <w:rPr>
          <w:sz w:val="24"/>
          <w:szCs w:val="24"/>
        </w:rPr>
      </w:pPr>
    </w:p>
    <w:p w14:paraId="6A29CC3B">
      <w:pPr>
        <w:widowControl/>
        <w:autoSpaceDE/>
        <w:autoSpaceDN/>
        <w:adjustRightInd/>
        <w:spacing w:line="360" w:lineRule="auto"/>
        <w:ind w:left="142"/>
        <w:rPr>
          <w:sz w:val="24"/>
          <w:szCs w:val="24"/>
        </w:rPr>
      </w:pPr>
      <w:r>
        <w:rPr>
          <w:sz w:val="24"/>
          <w:szCs w:val="24"/>
        </w:rPr>
        <w:t xml:space="preserve">      Динамика доходов от уплаты штрафов, санкции, возмещения ущерба   в 2026-2028 годах приведена ниже в таблице:</w:t>
      </w:r>
    </w:p>
    <w:tbl>
      <w:tblPr>
        <w:tblStyle w:val="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536"/>
        <w:gridCol w:w="1417"/>
        <w:gridCol w:w="1418"/>
        <w:gridCol w:w="1418"/>
      </w:tblGrid>
      <w:tr w14:paraId="5F6C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17" w:type="dxa"/>
            <w:tcBorders>
              <w:top w:val="single" w:color="auto" w:sz="4" w:space="0"/>
              <w:left w:val="single" w:color="auto" w:sz="4" w:space="0"/>
              <w:bottom w:val="single" w:color="auto" w:sz="4" w:space="0"/>
              <w:right w:val="single" w:color="auto" w:sz="4" w:space="0"/>
            </w:tcBorders>
            <w:noWrap/>
            <w:vAlign w:val="bottom"/>
          </w:tcPr>
          <w:p w14:paraId="608CEACB">
            <w:pPr>
              <w:widowControl/>
              <w:autoSpaceDE/>
              <w:autoSpaceDN/>
              <w:adjustRightInd/>
              <w:jc w:val="center"/>
              <w:rPr>
                <w:bCs/>
                <w:sz w:val="22"/>
                <w:szCs w:val="22"/>
              </w:rPr>
            </w:pPr>
          </w:p>
        </w:tc>
        <w:tc>
          <w:tcPr>
            <w:tcW w:w="4536" w:type="dxa"/>
            <w:tcBorders>
              <w:top w:val="single" w:color="auto" w:sz="4" w:space="0"/>
              <w:left w:val="single" w:color="auto" w:sz="4" w:space="0"/>
              <w:bottom w:val="single" w:color="auto" w:sz="4" w:space="0"/>
              <w:right w:val="single" w:color="auto" w:sz="4" w:space="0"/>
            </w:tcBorders>
            <w:noWrap/>
            <w:vAlign w:val="center"/>
          </w:tcPr>
          <w:p w14:paraId="19185526">
            <w:pPr>
              <w:widowControl/>
              <w:autoSpaceDE/>
              <w:autoSpaceDN/>
              <w:adjustRightInd/>
              <w:rPr>
                <w:b/>
                <w:sz w:val="22"/>
                <w:szCs w:val="22"/>
              </w:rPr>
            </w:pPr>
            <w:r>
              <w:rPr>
                <w:sz w:val="24"/>
                <w:szCs w:val="24"/>
              </w:rPr>
              <w:t>Штрафы, санкции, возмещение ущерба</w:t>
            </w:r>
          </w:p>
        </w:tc>
        <w:tc>
          <w:tcPr>
            <w:tcW w:w="1417" w:type="dxa"/>
            <w:tcBorders>
              <w:top w:val="single" w:color="auto" w:sz="4" w:space="0"/>
              <w:left w:val="single" w:color="auto" w:sz="4" w:space="0"/>
              <w:bottom w:val="single" w:color="auto" w:sz="4" w:space="0"/>
              <w:right w:val="single" w:color="auto" w:sz="4" w:space="0"/>
            </w:tcBorders>
            <w:noWrap/>
            <w:vAlign w:val="center"/>
          </w:tcPr>
          <w:p w14:paraId="55875FC1">
            <w:pPr>
              <w:widowControl/>
              <w:autoSpaceDE/>
              <w:autoSpaceDN/>
              <w:adjustRightInd/>
              <w:jc w:val="center"/>
              <w:rPr>
                <w:b/>
                <w:bCs/>
                <w:sz w:val="22"/>
                <w:szCs w:val="22"/>
              </w:rPr>
            </w:pPr>
            <w:r>
              <w:rPr>
                <w:b/>
                <w:sz w:val="22"/>
                <w:szCs w:val="22"/>
              </w:rPr>
              <w:t>2026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45715DDB">
            <w:pPr>
              <w:widowControl/>
              <w:autoSpaceDE/>
              <w:autoSpaceDN/>
              <w:adjustRightInd/>
              <w:jc w:val="center"/>
              <w:rPr>
                <w:b/>
                <w:bCs/>
                <w:sz w:val="22"/>
                <w:szCs w:val="22"/>
              </w:rPr>
            </w:pPr>
            <w:r>
              <w:rPr>
                <w:b/>
                <w:sz w:val="22"/>
                <w:szCs w:val="22"/>
              </w:rPr>
              <w:t>2027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292A863B">
            <w:pPr>
              <w:widowControl/>
              <w:autoSpaceDE/>
              <w:autoSpaceDN/>
              <w:adjustRightInd/>
              <w:jc w:val="center"/>
              <w:rPr>
                <w:b/>
                <w:bCs/>
                <w:sz w:val="22"/>
                <w:szCs w:val="22"/>
              </w:rPr>
            </w:pPr>
            <w:r>
              <w:rPr>
                <w:b/>
                <w:sz w:val="22"/>
                <w:szCs w:val="22"/>
              </w:rPr>
              <w:t>2028 год</w:t>
            </w:r>
          </w:p>
        </w:tc>
      </w:tr>
      <w:tr w14:paraId="25E9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tcBorders>
              <w:top w:val="single" w:color="auto" w:sz="4" w:space="0"/>
              <w:left w:val="single" w:color="auto" w:sz="4" w:space="0"/>
              <w:bottom w:val="single" w:color="auto" w:sz="4" w:space="0"/>
              <w:right w:val="single" w:color="auto" w:sz="4" w:space="0"/>
            </w:tcBorders>
            <w:noWrap/>
          </w:tcPr>
          <w:p w14:paraId="5BA9B0F0">
            <w:pPr>
              <w:widowControl/>
              <w:autoSpaceDE/>
              <w:autoSpaceDN/>
              <w:adjustRightInd/>
              <w:jc w:val="center"/>
              <w:rPr>
                <w:bCs/>
                <w:sz w:val="22"/>
                <w:szCs w:val="22"/>
              </w:rPr>
            </w:pPr>
            <w:r>
              <w:rPr>
                <w:bCs/>
                <w:sz w:val="22"/>
                <w:szCs w:val="22"/>
              </w:rPr>
              <w:t>1.</w:t>
            </w:r>
          </w:p>
        </w:tc>
        <w:tc>
          <w:tcPr>
            <w:tcW w:w="4536" w:type="dxa"/>
            <w:tcBorders>
              <w:top w:val="single" w:color="auto" w:sz="4" w:space="0"/>
              <w:left w:val="single" w:color="auto" w:sz="4" w:space="0"/>
              <w:bottom w:val="single" w:color="auto" w:sz="4" w:space="0"/>
              <w:right w:val="single" w:color="auto" w:sz="4" w:space="0"/>
            </w:tcBorders>
            <w:noWrap/>
            <w:vAlign w:val="center"/>
          </w:tcPr>
          <w:p w14:paraId="17F5C1DA">
            <w:pPr>
              <w:widowControl/>
              <w:autoSpaceDE/>
              <w:autoSpaceDN/>
              <w:adjustRightInd/>
              <w:rPr>
                <w:bCs/>
                <w:sz w:val="22"/>
                <w:szCs w:val="22"/>
              </w:rPr>
            </w:pPr>
            <w:r>
              <w:rPr>
                <w:bCs/>
                <w:sz w:val="22"/>
                <w:szCs w:val="22"/>
              </w:rPr>
              <w:t>Проект бюджета  (2026 –2028 гг.),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4A1A99CB">
            <w:pPr>
              <w:widowControl/>
              <w:autoSpaceDE/>
              <w:autoSpaceDN/>
              <w:adjustRightInd/>
              <w:jc w:val="center"/>
              <w:rPr>
                <w:bCs/>
                <w:sz w:val="22"/>
                <w:szCs w:val="22"/>
              </w:rPr>
            </w:pPr>
            <w:r>
              <w:rPr>
                <w:bCs/>
                <w:sz w:val="22"/>
                <w:szCs w:val="22"/>
              </w:rPr>
              <w:t>700</w:t>
            </w:r>
          </w:p>
        </w:tc>
        <w:tc>
          <w:tcPr>
            <w:tcW w:w="1418" w:type="dxa"/>
            <w:tcBorders>
              <w:top w:val="single" w:color="auto" w:sz="4" w:space="0"/>
              <w:left w:val="single" w:color="auto" w:sz="4" w:space="0"/>
              <w:bottom w:val="single" w:color="auto" w:sz="4" w:space="0"/>
              <w:right w:val="single" w:color="auto" w:sz="4" w:space="0"/>
            </w:tcBorders>
            <w:noWrap/>
            <w:vAlign w:val="center"/>
          </w:tcPr>
          <w:p w14:paraId="798AD32A">
            <w:pPr>
              <w:widowControl/>
              <w:autoSpaceDE/>
              <w:autoSpaceDN/>
              <w:adjustRightInd/>
              <w:jc w:val="center"/>
              <w:rPr>
                <w:bCs/>
                <w:sz w:val="22"/>
                <w:szCs w:val="22"/>
              </w:rPr>
            </w:pPr>
            <w:r>
              <w:rPr>
                <w:bCs/>
                <w:sz w:val="22"/>
                <w:szCs w:val="22"/>
              </w:rPr>
              <w:t>700</w:t>
            </w:r>
          </w:p>
        </w:tc>
        <w:tc>
          <w:tcPr>
            <w:tcW w:w="1418" w:type="dxa"/>
            <w:tcBorders>
              <w:top w:val="single" w:color="auto" w:sz="4" w:space="0"/>
              <w:left w:val="single" w:color="auto" w:sz="4" w:space="0"/>
              <w:bottom w:val="single" w:color="auto" w:sz="4" w:space="0"/>
              <w:right w:val="single" w:color="auto" w:sz="4" w:space="0"/>
            </w:tcBorders>
            <w:noWrap/>
            <w:vAlign w:val="center"/>
          </w:tcPr>
          <w:p w14:paraId="5DD3EAF7">
            <w:pPr>
              <w:widowControl/>
              <w:autoSpaceDE/>
              <w:autoSpaceDN/>
              <w:adjustRightInd/>
              <w:jc w:val="center"/>
              <w:rPr>
                <w:bCs/>
                <w:sz w:val="22"/>
                <w:szCs w:val="22"/>
              </w:rPr>
            </w:pPr>
            <w:r>
              <w:rPr>
                <w:bCs/>
                <w:sz w:val="22"/>
                <w:szCs w:val="22"/>
              </w:rPr>
              <w:t>700,0</w:t>
            </w:r>
          </w:p>
        </w:tc>
      </w:tr>
      <w:tr w14:paraId="3E1A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1BCA8C54">
            <w:pPr>
              <w:widowControl/>
              <w:autoSpaceDE/>
              <w:autoSpaceDN/>
              <w:adjustRightInd/>
              <w:jc w:val="center"/>
              <w:rPr>
                <w:sz w:val="22"/>
                <w:szCs w:val="22"/>
              </w:rPr>
            </w:pPr>
            <w:r>
              <w:rPr>
                <w:sz w:val="22"/>
                <w:szCs w:val="22"/>
              </w:rPr>
              <w:t>1.1</w:t>
            </w:r>
          </w:p>
        </w:tc>
        <w:tc>
          <w:tcPr>
            <w:tcW w:w="4536" w:type="dxa"/>
            <w:tcBorders>
              <w:top w:val="single" w:color="auto" w:sz="4" w:space="0"/>
              <w:left w:val="single" w:color="auto" w:sz="4" w:space="0"/>
              <w:bottom w:val="single" w:color="auto" w:sz="4" w:space="0"/>
              <w:right w:val="single" w:color="auto" w:sz="4" w:space="0"/>
            </w:tcBorders>
            <w:noWrap/>
            <w:vAlign w:val="center"/>
          </w:tcPr>
          <w:p w14:paraId="44763D85">
            <w:pPr>
              <w:widowControl/>
              <w:autoSpaceDE/>
              <w:autoSpaceDN/>
              <w:adjustRightInd/>
              <w:rPr>
                <w:sz w:val="22"/>
                <w:szCs w:val="22"/>
              </w:rPr>
            </w:pPr>
            <w:r>
              <w:rPr>
                <w:sz w:val="22"/>
                <w:szCs w:val="22"/>
              </w:rPr>
              <w:t>к предыдущему году (оценка),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0722EA57">
            <w:pPr>
              <w:widowControl/>
              <w:autoSpaceDE/>
              <w:autoSpaceDN/>
              <w:adjustRightInd/>
              <w:jc w:val="center"/>
              <w:rPr>
                <w:rFonts w:hint="default"/>
                <w:sz w:val="22"/>
                <w:szCs w:val="22"/>
                <w:lang w:val="ru-RU"/>
              </w:rPr>
            </w:pPr>
            <w:r>
              <w:rPr>
                <w:rFonts w:hint="default"/>
                <w:sz w:val="22"/>
                <w:szCs w:val="22"/>
                <w:lang w:val="ru-RU"/>
              </w:rPr>
              <w:t>-308,1</w:t>
            </w:r>
          </w:p>
        </w:tc>
        <w:tc>
          <w:tcPr>
            <w:tcW w:w="1418" w:type="dxa"/>
            <w:tcBorders>
              <w:top w:val="single" w:color="auto" w:sz="4" w:space="0"/>
              <w:left w:val="single" w:color="auto" w:sz="4" w:space="0"/>
              <w:bottom w:val="single" w:color="auto" w:sz="4" w:space="0"/>
              <w:right w:val="single" w:color="auto" w:sz="4" w:space="0"/>
            </w:tcBorders>
            <w:noWrap/>
            <w:vAlign w:val="center"/>
          </w:tcPr>
          <w:p w14:paraId="6184C8F8">
            <w:pPr>
              <w:widowControl/>
              <w:autoSpaceDE/>
              <w:autoSpaceDN/>
              <w:adjustRightInd/>
              <w:jc w:val="center"/>
              <w:rPr>
                <w:sz w:val="22"/>
                <w:szCs w:val="22"/>
              </w:rPr>
            </w:pPr>
            <w:r>
              <w:rPr>
                <w:sz w:val="22"/>
                <w:szCs w:val="22"/>
              </w:rPr>
              <w:t>0</w:t>
            </w:r>
          </w:p>
        </w:tc>
        <w:tc>
          <w:tcPr>
            <w:tcW w:w="1418" w:type="dxa"/>
            <w:tcBorders>
              <w:top w:val="single" w:color="auto" w:sz="4" w:space="0"/>
              <w:left w:val="single" w:color="auto" w:sz="4" w:space="0"/>
              <w:bottom w:val="single" w:color="auto" w:sz="4" w:space="0"/>
              <w:right w:val="single" w:color="auto" w:sz="4" w:space="0"/>
            </w:tcBorders>
            <w:noWrap/>
            <w:vAlign w:val="center"/>
          </w:tcPr>
          <w:p w14:paraId="3E1EC93B">
            <w:pPr>
              <w:widowControl/>
              <w:autoSpaceDE/>
              <w:autoSpaceDN/>
              <w:adjustRightInd/>
              <w:jc w:val="center"/>
              <w:rPr>
                <w:sz w:val="22"/>
                <w:szCs w:val="22"/>
              </w:rPr>
            </w:pPr>
            <w:r>
              <w:rPr>
                <w:sz w:val="22"/>
                <w:szCs w:val="22"/>
              </w:rPr>
              <w:t>0</w:t>
            </w:r>
          </w:p>
        </w:tc>
      </w:tr>
      <w:tr w14:paraId="2980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20B5B9C7">
            <w:pPr>
              <w:widowControl/>
              <w:autoSpaceDE/>
              <w:autoSpaceDN/>
              <w:adjustRightInd/>
              <w:jc w:val="center"/>
              <w:rPr>
                <w:sz w:val="22"/>
                <w:szCs w:val="22"/>
              </w:rPr>
            </w:pPr>
            <w:r>
              <w:rPr>
                <w:sz w:val="22"/>
                <w:szCs w:val="22"/>
              </w:rPr>
              <w:t>1.2</w:t>
            </w:r>
          </w:p>
        </w:tc>
        <w:tc>
          <w:tcPr>
            <w:tcW w:w="4536" w:type="dxa"/>
            <w:tcBorders>
              <w:top w:val="single" w:color="auto" w:sz="4" w:space="0"/>
              <w:left w:val="single" w:color="auto" w:sz="4" w:space="0"/>
              <w:bottom w:val="single" w:color="auto" w:sz="4" w:space="0"/>
              <w:right w:val="single" w:color="auto" w:sz="4" w:space="0"/>
            </w:tcBorders>
            <w:noWrap/>
            <w:vAlign w:val="center"/>
          </w:tcPr>
          <w:p w14:paraId="76A4CE8C">
            <w:pPr>
              <w:widowControl/>
              <w:autoSpaceDE/>
              <w:autoSpaceDN/>
              <w:adjustRightInd/>
              <w:rPr>
                <w:sz w:val="22"/>
                <w:szCs w:val="22"/>
              </w:rPr>
            </w:pPr>
            <w:r>
              <w:rPr>
                <w:sz w:val="22"/>
                <w:szCs w:val="22"/>
              </w:rPr>
              <w:t>к предыдущему  году (оценка), %</w:t>
            </w:r>
          </w:p>
        </w:tc>
        <w:tc>
          <w:tcPr>
            <w:tcW w:w="1417" w:type="dxa"/>
            <w:tcBorders>
              <w:top w:val="single" w:color="auto" w:sz="4" w:space="0"/>
              <w:left w:val="single" w:color="auto" w:sz="4" w:space="0"/>
              <w:bottom w:val="single" w:color="auto" w:sz="4" w:space="0"/>
              <w:right w:val="single" w:color="auto" w:sz="4" w:space="0"/>
            </w:tcBorders>
            <w:noWrap/>
            <w:vAlign w:val="center"/>
          </w:tcPr>
          <w:p w14:paraId="2B94C719">
            <w:pPr>
              <w:widowControl/>
              <w:autoSpaceDE/>
              <w:autoSpaceDN/>
              <w:adjustRightInd/>
              <w:jc w:val="center"/>
              <w:rPr>
                <w:rFonts w:hint="default"/>
                <w:sz w:val="22"/>
                <w:szCs w:val="22"/>
                <w:lang w:val="ru-RU"/>
              </w:rPr>
            </w:pPr>
            <w:r>
              <w:rPr>
                <w:rFonts w:hint="default"/>
                <w:sz w:val="22"/>
                <w:szCs w:val="22"/>
                <w:lang w:val="ru-RU"/>
              </w:rPr>
              <w:t>69,4</w:t>
            </w:r>
          </w:p>
        </w:tc>
        <w:tc>
          <w:tcPr>
            <w:tcW w:w="1418" w:type="dxa"/>
            <w:tcBorders>
              <w:top w:val="single" w:color="auto" w:sz="4" w:space="0"/>
              <w:left w:val="single" w:color="auto" w:sz="4" w:space="0"/>
              <w:bottom w:val="single" w:color="auto" w:sz="4" w:space="0"/>
              <w:right w:val="single" w:color="auto" w:sz="4" w:space="0"/>
            </w:tcBorders>
            <w:noWrap/>
            <w:vAlign w:val="center"/>
          </w:tcPr>
          <w:p w14:paraId="05A6D5D7">
            <w:pPr>
              <w:widowControl/>
              <w:autoSpaceDE/>
              <w:autoSpaceDN/>
              <w:adjustRightInd/>
              <w:jc w:val="center"/>
              <w:rPr>
                <w:sz w:val="22"/>
                <w:szCs w:val="22"/>
              </w:rPr>
            </w:pPr>
            <w:r>
              <w:rPr>
                <w:sz w:val="22"/>
                <w:szCs w:val="22"/>
              </w:rPr>
              <w:t>0</w:t>
            </w:r>
          </w:p>
        </w:tc>
        <w:tc>
          <w:tcPr>
            <w:tcW w:w="1418" w:type="dxa"/>
            <w:tcBorders>
              <w:top w:val="single" w:color="auto" w:sz="4" w:space="0"/>
              <w:left w:val="single" w:color="auto" w:sz="4" w:space="0"/>
              <w:bottom w:val="single" w:color="auto" w:sz="4" w:space="0"/>
              <w:right w:val="single" w:color="auto" w:sz="4" w:space="0"/>
            </w:tcBorders>
            <w:noWrap/>
            <w:vAlign w:val="center"/>
          </w:tcPr>
          <w:p w14:paraId="6C663EB8">
            <w:pPr>
              <w:widowControl/>
              <w:autoSpaceDE/>
              <w:autoSpaceDN/>
              <w:adjustRightInd/>
              <w:jc w:val="center"/>
              <w:rPr>
                <w:sz w:val="22"/>
                <w:szCs w:val="22"/>
              </w:rPr>
            </w:pPr>
            <w:r>
              <w:rPr>
                <w:sz w:val="22"/>
                <w:szCs w:val="22"/>
              </w:rPr>
              <w:t>0</w:t>
            </w:r>
          </w:p>
        </w:tc>
      </w:tr>
      <w:tr w14:paraId="41D3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17" w:type="dxa"/>
            <w:tcBorders>
              <w:top w:val="single" w:color="auto" w:sz="4" w:space="0"/>
              <w:left w:val="single" w:color="auto" w:sz="4" w:space="0"/>
              <w:bottom w:val="single" w:color="auto" w:sz="4" w:space="0"/>
              <w:right w:val="single" w:color="auto" w:sz="4" w:space="0"/>
            </w:tcBorders>
            <w:noWrap/>
          </w:tcPr>
          <w:p w14:paraId="53F9292A">
            <w:pPr>
              <w:widowControl/>
              <w:autoSpaceDE/>
              <w:autoSpaceDN/>
              <w:adjustRightInd/>
              <w:jc w:val="center"/>
              <w:rPr>
                <w:sz w:val="22"/>
                <w:szCs w:val="22"/>
              </w:rPr>
            </w:pPr>
            <w:r>
              <w:rPr>
                <w:sz w:val="22"/>
                <w:szCs w:val="22"/>
              </w:rPr>
              <w:t>2.</w:t>
            </w:r>
          </w:p>
        </w:tc>
        <w:tc>
          <w:tcPr>
            <w:tcW w:w="8789" w:type="dxa"/>
            <w:gridSpan w:val="4"/>
            <w:tcBorders>
              <w:top w:val="single" w:color="auto" w:sz="4" w:space="0"/>
              <w:left w:val="single" w:color="auto" w:sz="4" w:space="0"/>
              <w:bottom w:val="single" w:color="auto" w:sz="4" w:space="0"/>
              <w:right w:val="single" w:color="auto" w:sz="4" w:space="0"/>
            </w:tcBorders>
            <w:noWrap/>
          </w:tcPr>
          <w:p w14:paraId="18AD0CDF">
            <w:pPr>
              <w:widowControl/>
              <w:autoSpaceDE/>
              <w:autoSpaceDN/>
              <w:adjustRightInd/>
              <w:rPr>
                <w:sz w:val="22"/>
                <w:szCs w:val="22"/>
                <w:highlight w:val="yellow"/>
              </w:rPr>
            </w:pPr>
            <w:r>
              <w:rPr>
                <w:sz w:val="22"/>
                <w:szCs w:val="22"/>
              </w:rPr>
              <w:t>Ожидаемая оценка поступлений 20</w:t>
            </w:r>
            <w:r>
              <w:rPr>
                <w:sz w:val="22"/>
                <w:szCs w:val="22"/>
                <w:lang w:val="en-US"/>
              </w:rPr>
              <w:t>2</w:t>
            </w:r>
            <w:r>
              <w:rPr>
                <w:sz w:val="22"/>
                <w:szCs w:val="22"/>
              </w:rPr>
              <w:t>5 года</w:t>
            </w:r>
          </w:p>
        </w:tc>
      </w:tr>
      <w:tr w14:paraId="1033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6BFA3D74">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7A148D96">
            <w:pPr>
              <w:widowControl/>
              <w:autoSpaceDE/>
              <w:autoSpaceDN/>
              <w:adjustRightInd/>
              <w:rPr>
                <w:sz w:val="22"/>
                <w:szCs w:val="22"/>
              </w:rPr>
            </w:pPr>
            <w:r>
              <w:rPr>
                <w:sz w:val="22"/>
                <w:szCs w:val="22"/>
              </w:rPr>
              <w:t>по данным проекта бюджета,</w:t>
            </w:r>
          </w:p>
          <w:p w14:paraId="0188BCD7">
            <w:pPr>
              <w:widowControl/>
              <w:autoSpaceDE/>
              <w:autoSpaceDN/>
              <w:adjustRightInd/>
              <w:rPr>
                <w:sz w:val="22"/>
                <w:szCs w:val="22"/>
              </w:rPr>
            </w:pPr>
            <w:r>
              <w:rPr>
                <w:sz w:val="22"/>
                <w:szCs w:val="22"/>
              </w:rPr>
              <w:t>тыс. рублей</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75C135A1">
            <w:pPr>
              <w:widowControl/>
              <w:autoSpaceDE/>
              <w:autoSpaceDN/>
              <w:adjustRightInd/>
              <w:rPr>
                <w:sz w:val="22"/>
                <w:szCs w:val="22"/>
                <w:highlight w:val="yellow"/>
              </w:rPr>
            </w:pPr>
            <w:r>
              <w:rPr>
                <w:sz w:val="22"/>
                <w:szCs w:val="22"/>
              </w:rPr>
              <w:t>1 008,1</w:t>
            </w:r>
          </w:p>
        </w:tc>
      </w:tr>
      <w:tr w14:paraId="03D9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1E967C3F">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0E294053">
            <w:pPr>
              <w:widowControl/>
              <w:autoSpaceDE/>
              <w:autoSpaceDN/>
              <w:adjustRightInd/>
              <w:rPr>
                <w:sz w:val="22"/>
                <w:szCs w:val="22"/>
              </w:rPr>
            </w:pPr>
            <w:r>
              <w:rPr>
                <w:sz w:val="22"/>
                <w:szCs w:val="22"/>
              </w:rPr>
              <w:t>Факт 2024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5F9575E9">
            <w:pPr>
              <w:widowControl/>
              <w:autoSpaceDE/>
              <w:autoSpaceDN/>
              <w:adjustRightInd/>
              <w:rPr>
                <w:sz w:val="22"/>
                <w:szCs w:val="22"/>
              </w:rPr>
            </w:pPr>
            <w:r>
              <w:rPr>
                <w:sz w:val="22"/>
                <w:szCs w:val="22"/>
              </w:rPr>
              <w:t>3 490,1</w:t>
            </w:r>
          </w:p>
        </w:tc>
      </w:tr>
      <w:tr w14:paraId="29B9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41E9909B">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385D6738">
            <w:pPr>
              <w:widowControl/>
              <w:autoSpaceDE/>
              <w:autoSpaceDN/>
              <w:adjustRightInd/>
              <w:rPr>
                <w:sz w:val="22"/>
                <w:szCs w:val="22"/>
              </w:rPr>
            </w:pPr>
            <w:r>
              <w:rPr>
                <w:sz w:val="22"/>
                <w:szCs w:val="22"/>
              </w:rPr>
              <w:t>Факт 2023 год</w:t>
            </w:r>
          </w:p>
        </w:tc>
        <w:tc>
          <w:tcPr>
            <w:tcW w:w="4253" w:type="dxa"/>
            <w:gridSpan w:val="3"/>
            <w:tcBorders>
              <w:top w:val="single" w:color="auto" w:sz="4" w:space="0"/>
              <w:left w:val="single" w:color="auto" w:sz="4" w:space="0"/>
              <w:bottom w:val="single" w:color="auto" w:sz="4" w:space="0"/>
              <w:right w:val="single" w:color="auto" w:sz="4" w:space="0"/>
            </w:tcBorders>
            <w:noWrap/>
            <w:vAlign w:val="bottom"/>
          </w:tcPr>
          <w:p w14:paraId="724DB22C">
            <w:pPr>
              <w:widowControl/>
              <w:autoSpaceDE/>
              <w:autoSpaceDN/>
              <w:adjustRightInd/>
              <w:rPr>
                <w:sz w:val="22"/>
                <w:szCs w:val="22"/>
              </w:rPr>
            </w:pPr>
            <w:r>
              <w:rPr>
                <w:sz w:val="22"/>
                <w:szCs w:val="22"/>
              </w:rPr>
              <w:t>1 399,1</w:t>
            </w:r>
          </w:p>
        </w:tc>
      </w:tr>
    </w:tbl>
    <w:p w14:paraId="6F669997">
      <w:pPr>
        <w:pStyle w:val="8"/>
        <w:shd w:val="clear" w:color="auto" w:fill="auto"/>
        <w:tabs>
          <w:tab w:val="left" w:pos="284"/>
          <w:tab w:val="left" w:pos="426"/>
        </w:tabs>
        <w:spacing w:before="0" w:after="0" w:line="276" w:lineRule="auto"/>
        <w:ind w:right="20" w:firstLine="427" w:firstLineChars="178"/>
        <w:jc w:val="both"/>
        <w:rPr>
          <w:rFonts w:ascii="Times New Roman" w:hAnsi="Times New Roman"/>
          <w:sz w:val="24"/>
          <w:szCs w:val="24"/>
        </w:rPr>
      </w:pPr>
      <w:r>
        <w:rPr>
          <w:rFonts w:ascii="Times New Roman" w:hAnsi="Times New Roman"/>
          <w:sz w:val="24"/>
          <w:szCs w:val="24"/>
        </w:rPr>
        <w:t xml:space="preserve"> Штрафы, санкции, возмещение ущерба  поступающие в бюджет муниципального округа на  2026 год предусмотрены  на 700,0 тыс. рублей, меньше прогноза исполнения в 2025 году на </w:t>
      </w:r>
      <w:r>
        <w:rPr>
          <w:rFonts w:hint="default" w:ascii="Times New Roman" w:hAnsi="Times New Roman"/>
          <w:sz w:val="24"/>
          <w:szCs w:val="24"/>
          <w:lang w:val="ru-RU"/>
        </w:rPr>
        <w:t>308,1</w:t>
      </w:r>
      <w:r>
        <w:rPr>
          <w:rFonts w:ascii="Times New Roman" w:hAnsi="Times New Roman"/>
          <w:sz w:val="24"/>
          <w:szCs w:val="24"/>
        </w:rPr>
        <w:t xml:space="preserve"> тыс.рублей.</w:t>
      </w:r>
    </w:p>
    <w:p w14:paraId="71772F58">
      <w:pPr>
        <w:widowControl/>
        <w:autoSpaceDE/>
        <w:autoSpaceDN/>
        <w:adjustRightInd/>
        <w:spacing w:line="360" w:lineRule="auto"/>
        <w:ind w:left="142" w:leftChars="71" w:firstLine="240" w:firstLineChars="100"/>
        <w:rPr>
          <w:sz w:val="24"/>
          <w:szCs w:val="24"/>
        </w:rPr>
      </w:pPr>
      <w:r>
        <w:rPr>
          <w:sz w:val="24"/>
          <w:szCs w:val="24"/>
        </w:rPr>
        <w:t>В связи с преобразованием всех поселений, входящих в состав муниципального района «Дульдургинский район»  в Дульдургинский муниципальный округ в проект бюджета на 2026 год и плановый период 2027-2028 годы включены следующие налоги, поступавшие в бюджет сельских поселений:</w:t>
      </w:r>
    </w:p>
    <w:p w14:paraId="1AFA16C6">
      <w:pPr>
        <w:widowControl/>
        <w:numPr>
          <w:ilvl w:val="0"/>
          <w:numId w:val="3"/>
        </w:numPr>
        <w:autoSpaceDE/>
        <w:autoSpaceDN/>
        <w:adjustRightInd/>
        <w:spacing w:line="360" w:lineRule="auto"/>
        <w:ind w:left="420" w:leftChars="0" w:hanging="420" w:firstLineChars="0"/>
        <w:rPr>
          <w:sz w:val="24"/>
          <w:szCs w:val="24"/>
        </w:rPr>
      </w:pPr>
      <w:r>
        <w:rPr>
          <w:sz w:val="24"/>
          <w:szCs w:val="24"/>
        </w:rPr>
        <w:t>налоги на имущество, в том числе: налог на имущество физических лиц, взимаемый по ставкам, применяемым к объектам налогообложения, расположенным в границах муниципальных округов, земельный налог с организаций, обладающих земельным участком, расположенным в границах муниципальных округов и в границах сельских поселений</w:t>
      </w:r>
    </w:p>
    <w:p w14:paraId="07485EFC">
      <w:pPr>
        <w:widowControl/>
        <w:numPr>
          <w:ilvl w:val="0"/>
          <w:numId w:val="4"/>
        </w:numPr>
        <w:autoSpaceDE/>
        <w:autoSpaceDN/>
        <w:adjustRightInd/>
        <w:spacing w:line="360" w:lineRule="auto"/>
        <w:ind w:left="420" w:leftChars="0" w:hanging="420" w:firstLineChars="0"/>
        <w:rPr>
          <w:sz w:val="24"/>
          <w:szCs w:val="24"/>
        </w:rPr>
      </w:pPr>
      <w:r>
        <w:rPr>
          <w:sz w:val="24"/>
          <w:szCs w:val="24"/>
        </w:rPr>
        <w:t>туристический налог</w:t>
      </w:r>
    </w:p>
    <w:tbl>
      <w:tblPr>
        <w:tblStyle w:val="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4536"/>
        <w:gridCol w:w="1421"/>
        <w:gridCol w:w="1417"/>
        <w:gridCol w:w="1417"/>
      </w:tblGrid>
      <w:tr w14:paraId="341D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17" w:type="dxa"/>
            <w:tcBorders>
              <w:top w:val="single" w:color="auto" w:sz="4" w:space="0"/>
              <w:left w:val="single" w:color="auto" w:sz="4" w:space="0"/>
              <w:bottom w:val="single" w:color="auto" w:sz="4" w:space="0"/>
              <w:right w:val="single" w:color="auto" w:sz="4" w:space="0"/>
            </w:tcBorders>
            <w:noWrap/>
            <w:vAlign w:val="bottom"/>
          </w:tcPr>
          <w:p w14:paraId="7E708DBC">
            <w:pPr>
              <w:widowControl/>
              <w:autoSpaceDE/>
              <w:autoSpaceDN/>
              <w:adjustRightInd/>
              <w:jc w:val="center"/>
              <w:rPr>
                <w:bCs/>
                <w:sz w:val="22"/>
                <w:szCs w:val="22"/>
              </w:rPr>
            </w:pPr>
          </w:p>
        </w:tc>
        <w:tc>
          <w:tcPr>
            <w:tcW w:w="4536" w:type="dxa"/>
            <w:tcBorders>
              <w:top w:val="single" w:color="auto" w:sz="4" w:space="0"/>
              <w:left w:val="single" w:color="auto" w:sz="4" w:space="0"/>
              <w:bottom w:val="single" w:color="auto" w:sz="4" w:space="0"/>
              <w:right w:val="single" w:color="auto" w:sz="4" w:space="0"/>
            </w:tcBorders>
            <w:noWrap/>
            <w:vAlign w:val="center"/>
          </w:tcPr>
          <w:p w14:paraId="3EFA5B3C">
            <w:pPr>
              <w:widowControl/>
              <w:autoSpaceDE/>
              <w:autoSpaceDN/>
              <w:adjustRightInd/>
              <w:rPr>
                <w:b/>
                <w:sz w:val="22"/>
                <w:szCs w:val="22"/>
              </w:rPr>
            </w:pPr>
            <w:r>
              <w:rPr>
                <w:bCs/>
                <w:sz w:val="22"/>
                <w:szCs w:val="22"/>
              </w:rPr>
              <w:t>наименование</w:t>
            </w:r>
          </w:p>
        </w:tc>
        <w:tc>
          <w:tcPr>
            <w:tcW w:w="1417" w:type="dxa"/>
            <w:tcBorders>
              <w:top w:val="single" w:color="auto" w:sz="4" w:space="0"/>
              <w:left w:val="single" w:color="auto" w:sz="4" w:space="0"/>
              <w:bottom w:val="single" w:color="auto" w:sz="4" w:space="0"/>
              <w:right w:val="single" w:color="auto" w:sz="4" w:space="0"/>
            </w:tcBorders>
            <w:noWrap/>
            <w:vAlign w:val="center"/>
          </w:tcPr>
          <w:p w14:paraId="258AE30B">
            <w:pPr>
              <w:widowControl/>
              <w:autoSpaceDE/>
              <w:autoSpaceDN/>
              <w:adjustRightInd/>
              <w:jc w:val="center"/>
              <w:rPr>
                <w:b/>
                <w:bCs/>
                <w:sz w:val="22"/>
                <w:szCs w:val="22"/>
              </w:rPr>
            </w:pPr>
            <w:r>
              <w:rPr>
                <w:b/>
                <w:sz w:val="22"/>
                <w:szCs w:val="22"/>
              </w:rPr>
              <w:t>2026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5C34D318">
            <w:pPr>
              <w:widowControl/>
              <w:autoSpaceDE/>
              <w:autoSpaceDN/>
              <w:adjustRightInd/>
              <w:jc w:val="center"/>
              <w:rPr>
                <w:b/>
                <w:bCs/>
                <w:sz w:val="22"/>
                <w:szCs w:val="22"/>
              </w:rPr>
            </w:pPr>
            <w:r>
              <w:rPr>
                <w:b/>
                <w:sz w:val="22"/>
                <w:szCs w:val="22"/>
              </w:rPr>
              <w:t>2027 год</w:t>
            </w:r>
          </w:p>
        </w:tc>
        <w:tc>
          <w:tcPr>
            <w:tcW w:w="1418" w:type="dxa"/>
            <w:tcBorders>
              <w:top w:val="single" w:color="auto" w:sz="4" w:space="0"/>
              <w:left w:val="single" w:color="auto" w:sz="4" w:space="0"/>
              <w:bottom w:val="single" w:color="auto" w:sz="4" w:space="0"/>
              <w:right w:val="single" w:color="auto" w:sz="4" w:space="0"/>
            </w:tcBorders>
            <w:noWrap/>
            <w:vAlign w:val="center"/>
          </w:tcPr>
          <w:p w14:paraId="71931F1A">
            <w:pPr>
              <w:widowControl/>
              <w:autoSpaceDE/>
              <w:autoSpaceDN/>
              <w:adjustRightInd/>
              <w:jc w:val="center"/>
              <w:rPr>
                <w:b/>
                <w:bCs/>
                <w:sz w:val="22"/>
                <w:szCs w:val="22"/>
              </w:rPr>
            </w:pPr>
            <w:r>
              <w:rPr>
                <w:b/>
                <w:sz w:val="22"/>
                <w:szCs w:val="22"/>
              </w:rPr>
              <w:t>2028 год</w:t>
            </w:r>
          </w:p>
        </w:tc>
      </w:tr>
      <w:tr w14:paraId="70EC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7" w:type="dxa"/>
            <w:tcBorders>
              <w:top w:val="single" w:color="auto" w:sz="4" w:space="0"/>
              <w:left w:val="single" w:color="auto" w:sz="4" w:space="0"/>
              <w:bottom w:val="single" w:color="auto" w:sz="4" w:space="0"/>
              <w:right w:val="single" w:color="auto" w:sz="4" w:space="0"/>
            </w:tcBorders>
            <w:noWrap/>
          </w:tcPr>
          <w:p w14:paraId="593DCD0F">
            <w:pPr>
              <w:widowControl/>
              <w:autoSpaceDE/>
              <w:autoSpaceDN/>
              <w:adjustRightInd/>
              <w:jc w:val="center"/>
              <w:rPr>
                <w:bCs/>
                <w:sz w:val="22"/>
                <w:szCs w:val="22"/>
              </w:rPr>
            </w:pPr>
          </w:p>
        </w:tc>
        <w:tc>
          <w:tcPr>
            <w:tcW w:w="4536" w:type="dxa"/>
            <w:tcBorders>
              <w:top w:val="single" w:color="auto" w:sz="4" w:space="0"/>
              <w:left w:val="single" w:color="auto" w:sz="4" w:space="0"/>
              <w:bottom w:val="single" w:color="auto" w:sz="4" w:space="0"/>
              <w:right w:val="single" w:color="auto" w:sz="4" w:space="0"/>
            </w:tcBorders>
            <w:noWrap/>
            <w:vAlign w:val="center"/>
          </w:tcPr>
          <w:p w14:paraId="32F0A266">
            <w:pPr>
              <w:widowControl/>
              <w:autoSpaceDE/>
              <w:autoSpaceDN/>
              <w:adjustRightInd/>
              <w:rPr>
                <w:bCs/>
                <w:sz w:val="22"/>
                <w:szCs w:val="22"/>
              </w:rPr>
            </w:pPr>
            <w:r>
              <w:rPr>
                <w:bCs/>
                <w:sz w:val="22"/>
                <w:szCs w:val="22"/>
              </w:rPr>
              <w:t>Проект бюджета  (2026 –2028 гг.), тыс. рублей</w:t>
            </w:r>
          </w:p>
        </w:tc>
        <w:tc>
          <w:tcPr>
            <w:tcW w:w="1417" w:type="dxa"/>
            <w:tcBorders>
              <w:top w:val="single" w:color="auto" w:sz="4" w:space="0"/>
              <w:left w:val="single" w:color="auto" w:sz="4" w:space="0"/>
              <w:bottom w:val="single" w:color="auto" w:sz="4" w:space="0"/>
              <w:right w:val="single" w:color="auto" w:sz="4" w:space="0"/>
            </w:tcBorders>
            <w:noWrap/>
            <w:vAlign w:val="center"/>
          </w:tcPr>
          <w:p w14:paraId="5492F6C0">
            <w:pPr>
              <w:widowControl/>
              <w:autoSpaceDE/>
              <w:autoSpaceDN/>
              <w:adjustRightInd/>
              <w:jc w:val="center"/>
              <w:rPr>
                <w:bCs/>
                <w:sz w:val="22"/>
                <w:szCs w:val="22"/>
              </w:rPr>
            </w:pPr>
          </w:p>
        </w:tc>
        <w:tc>
          <w:tcPr>
            <w:tcW w:w="1418" w:type="dxa"/>
            <w:tcBorders>
              <w:top w:val="single" w:color="auto" w:sz="4" w:space="0"/>
              <w:left w:val="single" w:color="auto" w:sz="4" w:space="0"/>
              <w:bottom w:val="single" w:color="auto" w:sz="4" w:space="0"/>
              <w:right w:val="single" w:color="auto" w:sz="4" w:space="0"/>
            </w:tcBorders>
            <w:noWrap/>
            <w:vAlign w:val="center"/>
          </w:tcPr>
          <w:p w14:paraId="2510F978">
            <w:pPr>
              <w:widowControl/>
              <w:autoSpaceDE/>
              <w:autoSpaceDN/>
              <w:adjustRightInd/>
              <w:jc w:val="center"/>
              <w:rPr>
                <w:bCs/>
                <w:sz w:val="22"/>
                <w:szCs w:val="22"/>
              </w:rPr>
            </w:pPr>
          </w:p>
        </w:tc>
        <w:tc>
          <w:tcPr>
            <w:tcW w:w="1418" w:type="dxa"/>
            <w:tcBorders>
              <w:top w:val="single" w:color="auto" w:sz="4" w:space="0"/>
              <w:left w:val="single" w:color="auto" w:sz="4" w:space="0"/>
              <w:bottom w:val="single" w:color="auto" w:sz="4" w:space="0"/>
              <w:right w:val="single" w:color="auto" w:sz="4" w:space="0"/>
            </w:tcBorders>
            <w:noWrap/>
            <w:vAlign w:val="center"/>
          </w:tcPr>
          <w:p w14:paraId="173F42A5">
            <w:pPr>
              <w:widowControl/>
              <w:autoSpaceDE/>
              <w:autoSpaceDN/>
              <w:adjustRightInd/>
              <w:jc w:val="center"/>
              <w:rPr>
                <w:bCs/>
                <w:sz w:val="22"/>
                <w:szCs w:val="22"/>
              </w:rPr>
            </w:pPr>
          </w:p>
        </w:tc>
      </w:tr>
      <w:tr w14:paraId="50DC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37AFEC66">
            <w:pPr>
              <w:widowControl/>
              <w:autoSpaceDE/>
              <w:autoSpaceDN/>
              <w:adjustRightInd/>
              <w:jc w:val="center"/>
              <w:rPr>
                <w:sz w:val="22"/>
                <w:szCs w:val="22"/>
              </w:rPr>
            </w:pPr>
            <w:r>
              <w:rPr>
                <w:sz w:val="22"/>
                <w:szCs w:val="22"/>
              </w:rPr>
              <w:t>1.</w:t>
            </w:r>
          </w:p>
        </w:tc>
        <w:tc>
          <w:tcPr>
            <w:tcW w:w="4536" w:type="dxa"/>
            <w:tcBorders>
              <w:top w:val="single" w:color="auto" w:sz="4" w:space="0"/>
              <w:left w:val="single" w:color="auto" w:sz="4" w:space="0"/>
              <w:bottom w:val="single" w:color="auto" w:sz="4" w:space="0"/>
              <w:right w:val="single" w:color="auto" w:sz="4" w:space="0"/>
            </w:tcBorders>
            <w:noWrap/>
            <w:vAlign w:val="center"/>
          </w:tcPr>
          <w:p w14:paraId="730CD2C1">
            <w:pPr>
              <w:widowControl/>
              <w:autoSpaceDE/>
              <w:autoSpaceDN/>
              <w:adjustRightInd/>
              <w:rPr>
                <w:sz w:val="22"/>
                <w:szCs w:val="22"/>
              </w:rPr>
            </w:pPr>
            <w:r>
              <w:rPr>
                <w:sz w:val="22"/>
                <w:szCs w:val="22"/>
              </w:rPr>
              <w:t>налог на имущество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1417" w:type="dxa"/>
            <w:tcBorders>
              <w:top w:val="single" w:color="auto" w:sz="4" w:space="0"/>
              <w:left w:val="single" w:color="auto" w:sz="4" w:space="0"/>
              <w:bottom w:val="single" w:color="auto" w:sz="4" w:space="0"/>
              <w:right w:val="single" w:color="auto" w:sz="4" w:space="0"/>
            </w:tcBorders>
            <w:noWrap/>
            <w:vAlign w:val="center"/>
          </w:tcPr>
          <w:p w14:paraId="4DFE1DD0">
            <w:pPr>
              <w:widowControl/>
              <w:autoSpaceDE/>
              <w:autoSpaceDN/>
              <w:adjustRightInd/>
              <w:jc w:val="center"/>
              <w:rPr>
                <w:sz w:val="22"/>
                <w:szCs w:val="22"/>
              </w:rPr>
            </w:pPr>
            <w:r>
              <w:rPr>
                <w:sz w:val="22"/>
                <w:szCs w:val="22"/>
              </w:rPr>
              <w:t>6 204,0</w:t>
            </w:r>
          </w:p>
        </w:tc>
        <w:tc>
          <w:tcPr>
            <w:tcW w:w="1418" w:type="dxa"/>
            <w:tcBorders>
              <w:top w:val="single" w:color="auto" w:sz="4" w:space="0"/>
              <w:left w:val="single" w:color="auto" w:sz="4" w:space="0"/>
              <w:bottom w:val="single" w:color="auto" w:sz="4" w:space="0"/>
              <w:right w:val="single" w:color="auto" w:sz="4" w:space="0"/>
            </w:tcBorders>
            <w:noWrap/>
            <w:vAlign w:val="center"/>
          </w:tcPr>
          <w:p w14:paraId="28CA9D64">
            <w:pPr>
              <w:widowControl/>
              <w:autoSpaceDE/>
              <w:autoSpaceDN/>
              <w:adjustRightInd/>
              <w:jc w:val="center"/>
              <w:rPr>
                <w:sz w:val="22"/>
                <w:szCs w:val="22"/>
              </w:rPr>
            </w:pPr>
            <w:r>
              <w:rPr>
                <w:sz w:val="22"/>
                <w:szCs w:val="22"/>
              </w:rPr>
              <w:t>6 204,0</w:t>
            </w:r>
          </w:p>
        </w:tc>
        <w:tc>
          <w:tcPr>
            <w:tcW w:w="1418" w:type="dxa"/>
            <w:tcBorders>
              <w:top w:val="single" w:color="auto" w:sz="4" w:space="0"/>
              <w:left w:val="single" w:color="auto" w:sz="4" w:space="0"/>
              <w:bottom w:val="single" w:color="auto" w:sz="4" w:space="0"/>
              <w:right w:val="single" w:color="auto" w:sz="4" w:space="0"/>
            </w:tcBorders>
            <w:noWrap/>
            <w:vAlign w:val="center"/>
          </w:tcPr>
          <w:p w14:paraId="0004BD3B">
            <w:pPr>
              <w:widowControl/>
              <w:autoSpaceDE/>
              <w:autoSpaceDN/>
              <w:adjustRightInd/>
              <w:jc w:val="center"/>
              <w:rPr>
                <w:sz w:val="22"/>
                <w:szCs w:val="22"/>
              </w:rPr>
            </w:pPr>
            <w:r>
              <w:rPr>
                <w:sz w:val="22"/>
                <w:szCs w:val="22"/>
              </w:rPr>
              <w:t>6 204,0</w:t>
            </w:r>
          </w:p>
        </w:tc>
      </w:tr>
      <w:tr w14:paraId="4B33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27E6242B">
            <w:pPr>
              <w:widowControl/>
              <w:autoSpaceDE/>
              <w:autoSpaceDN/>
              <w:adjustRightInd/>
              <w:jc w:val="center"/>
              <w:rPr>
                <w:sz w:val="22"/>
                <w:szCs w:val="22"/>
              </w:rPr>
            </w:pPr>
            <w:r>
              <w:rPr>
                <w:sz w:val="22"/>
                <w:szCs w:val="22"/>
              </w:rPr>
              <w:t>2.</w:t>
            </w:r>
          </w:p>
        </w:tc>
        <w:tc>
          <w:tcPr>
            <w:tcW w:w="4536" w:type="dxa"/>
            <w:tcBorders>
              <w:top w:val="single" w:color="auto" w:sz="4" w:space="0"/>
              <w:left w:val="single" w:color="auto" w:sz="4" w:space="0"/>
              <w:bottom w:val="single" w:color="auto" w:sz="4" w:space="0"/>
              <w:right w:val="single" w:color="auto" w:sz="4" w:space="0"/>
            </w:tcBorders>
            <w:noWrap/>
            <w:vAlign w:val="center"/>
          </w:tcPr>
          <w:p w14:paraId="43065173">
            <w:pPr>
              <w:widowControl/>
              <w:autoSpaceDE/>
              <w:autoSpaceDN/>
              <w:adjustRightInd/>
              <w:rPr>
                <w:sz w:val="22"/>
                <w:szCs w:val="22"/>
              </w:rPr>
            </w:pPr>
            <w:r>
              <w:rPr>
                <w:sz w:val="24"/>
                <w:szCs w:val="24"/>
              </w:rPr>
              <w:t>земельный налог с организаций, обладающих земельным участком, расположенным в границах муниципальных округов</w:t>
            </w:r>
          </w:p>
        </w:tc>
        <w:tc>
          <w:tcPr>
            <w:tcW w:w="1417" w:type="dxa"/>
            <w:tcBorders>
              <w:top w:val="single" w:color="auto" w:sz="4" w:space="0"/>
              <w:left w:val="single" w:color="auto" w:sz="4" w:space="0"/>
              <w:bottom w:val="single" w:color="auto" w:sz="4" w:space="0"/>
              <w:right w:val="single" w:color="auto" w:sz="4" w:space="0"/>
            </w:tcBorders>
            <w:noWrap/>
            <w:vAlign w:val="center"/>
          </w:tcPr>
          <w:p w14:paraId="646F7BB9">
            <w:pPr>
              <w:widowControl/>
              <w:autoSpaceDE/>
              <w:autoSpaceDN/>
              <w:adjustRightInd/>
              <w:jc w:val="center"/>
              <w:rPr>
                <w:sz w:val="22"/>
                <w:szCs w:val="22"/>
              </w:rPr>
            </w:pPr>
            <w:r>
              <w:rPr>
                <w:sz w:val="22"/>
                <w:szCs w:val="22"/>
              </w:rPr>
              <w:t>1 055,0</w:t>
            </w:r>
          </w:p>
        </w:tc>
        <w:tc>
          <w:tcPr>
            <w:tcW w:w="1418" w:type="dxa"/>
            <w:tcBorders>
              <w:top w:val="single" w:color="auto" w:sz="4" w:space="0"/>
              <w:left w:val="single" w:color="auto" w:sz="4" w:space="0"/>
              <w:bottom w:val="single" w:color="auto" w:sz="4" w:space="0"/>
              <w:right w:val="single" w:color="auto" w:sz="4" w:space="0"/>
            </w:tcBorders>
            <w:noWrap/>
            <w:vAlign w:val="center"/>
          </w:tcPr>
          <w:p w14:paraId="23EA44F8">
            <w:pPr>
              <w:widowControl/>
              <w:autoSpaceDE/>
              <w:autoSpaceDN/>
              <w:adjustRightInd/>
              <w:jc w:val="center"/>
              <w:rPr>
                <w:sz w:val="22"/>
                <w:szCs w:val="22"/>
              </w:rPr>
            </w:pPr>
            <w:r>
              <w:rPr>
                <w:sz w:val="22"/>
                <w:szCs w:val="22"/>
              </w:rPr>
              <w:t>1 055,0</w:t>
            </w:r>
          </w:p>
        </w:tc>
        <w:tc>
          <w:tcPr>
            <w:tcW w:w="1418" w:type="dxa"/>
            <w:tcBorders>
              <w:top w:val="single" w:color="auto" w:sz="4" w:space="0"/>
              <w:left w:val="single" w:color="auto" w:sz="4" w:space="0"/>
              <w:bottom w:val="single" w:color="auto" w:sz="4" w:space="0"/>
              <w:right w:val="single" w:color="auto" w:sz="4" w:space="0"/>
            </w:tcBorders>
            <w:noWrap/>
            <w:vAlign w:val="center"/>
          </w:tcPr>
          <w:p w14:paraId="6D64B2FC">
            <w:pPr>
              <w:widowControl/>
              <w:autoSpaceDE/>
              <w:autoSpaceDN/>
              <w:adjustRightInd/>
              <w:jc w:val="center"/>
              <w:rPr>
                <w:sz w:val="22"/>
                <w:szCs w:val="22"/>
              </w:rPr>
            </w:pPr>
            <w:r>
              <w:rPr>
                <w:sz w:val="22"/>
                <w:szCs w:val="22"/>
              </w:rPr>
              <w:t>1 055,0</w:t>
            </w:r>
          </w:p>
        </w:tc>
      </w:tr>
      <w:tr w14:paraId="4C6B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17" w:type="dxa"/>
            <w:tcBorders>
              <w:top w:val="single" w:color="auto" w:sz="4" w:space="0"/>
              <w:left w:val="single" w:color="auto" w:sz="4" w:space="0"/>
              <w:bottom w:val="single" w:color="auto" w:sz="4" w:space="0"/>
              <w:right w:val="single" w:color="auto" w:sz="4" w:space="0"/>
            </w:tcBorders>
            <w:noWrap/>
          </w:tcPr>
          <w:p w14:paraId="0DDE1DBF">
            <w:pPr>
              <w:widowControl/>
              <w:autoSpaceDE/>
              <w:autoSpaceDN/>
              <w:adjustRightInd/>
              <w:jc w:val="center"/>
              <w:rPr>
                <w:sz w:val="22"/>
                <w:szCs w:val="22"/>
              </w:rPr>
            </w:pPr>
            <w:r>
              <w:rPr>
                <w:sz w:val="22"/>
                <w:szCs w:val="22"/>
              </w:rPr>
              <w:t>3.</w:t>
            </w:r>
          </w:p>
        </w:tc>
        <w:tc>
          <w:tcPr>
            <w:tcW w:w="4541" w:type="dxa"/>
            <w:tcBorders>
              <w:top w:val="single" w:color="auto" w:sz="4" w:space="0"/>
              <w:left w:val="single" w:color="auto" w:sz="4" w:space="0"/>
              <w:bottom w:val="single" w:color="auto" w:sz="4" w:space="0"/>
              <w:right w:val="single" w:color="auto" w:sz="4" w:space="0"/>
            </w:tcBorders>
            <w:noWrap/>
          </w:tcPr>
          <w:p w14:paraId="1D27DDE3">
            <w:pPr>
              <w:widowControl/>
              <w:autoSpaceDE/>
              <w:autoSpaceDN/>
              <w:adjustRightInd/>
              <w:rPr>
                <w:sz w:val="22"/>
                <w:szCs w:val="22"/>
                <w:highlight w:val="yellow"/>
              </w:rPr>
            </w:pPr>
            <w:r>
              <w:rPr>
                <w:sz w:val="24"/>
                <w:szCs w:val="24"/>
              </w:rPr>
              <w:t>земельный налог с организаций, обладающих земельным участком, расположенным в границах сельских поселений</w:t>
            </w:r>
          </w:p>
        </w:tc>
        <w:tc>
          <w:tcPr>
            <w:tcW w:w="1417" w:type="dxa"/>
            <w:tcBorders>
              <w:top w:val="single" w:color="auto" w:sz="4" w:space="0"/>
              <w:left w:val="single" w:color="auto" w:sz="4" w:space="0"/>
              <w:bottom w:val="single" w:color="auto" w:sz="4" w:space="0"/>
              <w:right w:val="single" w:color="auto" w:sz="4" w:space="0"/>
            </w:tcBorders>
            <w:noWrap/>
            <w:vAlign w:val="center"/>
          </w:tcPr>
          <w:p w14:paraId="1D781B78">
            <w:pPr>
              <w:widowControl/>
              <w:autoSpaceDE/>
              <w:autoSpaceDN/>
              <w:adjustRightInd/>
              <w:jc w:val="center"/>
              <w:rPr>
                <w:sz w:val="22"/>
                <w:szCs w:val="22"/>
              </w:rPr>
            </w:pPr>
            <w:r>
              <w:rPr>
                <w:sz w:val="22"/>
                <w:szCs w:val="22"/>
              </w:rPr>
              <w:t>2 675,0</w:t>
            </w:r>
          </w:p>
        </w:tc>
        <w:tc>
          <w:tcPr>
            <w:tcW w:w="1418" w:type="dxa"/>
            <w:tcBorders>
              <w:top w:val="single" w:color="auto" w:sz="4" w:space="0"/>
              <w:left w:val="single" w:color="auto" w:sz="4" w:space="0"/>
              <w:bottom w:val="single" w:color="auto" w:sz="4" w:space="0"/>
              <w:right w:val="single" w:color="auto" w:sz="4" w:space="0"/>
            </w:tcBorders>
            <w:noWrap/>
            <w:vAlign w:val="center"/>
          </w:tcPr>
          <w:p w14:paraId="23C28171">
            <w:pPr>
              <w:widowControl/>
              <w:autoSpaceDE/>
              <w:autoSpaceDN/>
              <w:adjustRightInd/>
              <w:jc w:val="center"/>
              <w:rPr>
                <w:sz w:val="22"/>
                <w:szCs w:val="22"/>
              </w:rPr>
            </w:pPr>
            <w:r>
              <w:rPr>
                <w:sz w:val="22"/>
                <w:szCs w:val="22"/>
              </w:rPr>
              <w:t>2 675,0</w:t>
            </w:r>
          </w:p>
        </w:tc>
        <w:tc>
          <w:tcPr>
            <w:tcW w:w="1413" w:type="dxa"/>
            <w:tcBorders>
              <w:top w:val="single" w:color="auto" w:sz="4" w:space="0"/>
              <w:left w:val="single" w:color="auto" w:sz="4" w:space="0"/>
              <w:bottom w:val="single" w:color="auto" w:sz="4" w:space="0"/>
              <w:right w:val="single" w:color="auto" w:sz="4" w:space="0"/>
            </w:tcBorders>
            <w:noWrap/>
            <w:vAlign w:val="center"/>
          </w:tcPr>
          <w:p w14:paraId="77ECA463">
            <w:pPr>
              <w:widowControl/>
              <w:autoSpaceDE/>
              <w:autoSpaceDN/>
              <w:adjustRightInd/>
              <w:jc w:val="center"/>
              <w:rPr>
                <w:sz w:val="22"/>
                <w:szCs w:val="22"/>
              </w:rPr>
            </w:pPr>
            <w:r>
              <w:rPr>
                <w:sz w:val="22"/>
                <w:szCs w:val="22"/>
              </w:rPr>
              <w:t>2 675,0</w:t>
            </w:r>
          </w:p>
        </w:tc>
      </w:tr>
      <w:tr w14:paraId="611E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50B7DB3A">
            <w:pPr>
              <w:widowControl/>
              <w:autoSpaceDE/>
              <w:autoSpaceDN/>
              <w:adjustRightInd/>
              <w:jc w:val="center"/>
              <w:rPr>
                <w:sz w:val="22"/>
                <w:szCs w:val="22"/>
              </w:rPr>
            </w:pPr>
            <w:r>
              <w:rPr>
                <w:sz w:val="22"/>
                <w:szCs w:val="22"/>
              </w:rPr>
              <w:t>4.</w:t>
            </w:r>
          </w:p>
        </w:tc>
        <w:tc>
          <w:tcPr>
            <w:tcW w:w="4536" w:type="dxa"/>
            <w:tcBorders>
              <w:top w:val="single" w:color="auto" w:sz="4" w:space="0"/>
              <w:left w:val="single" w:color="auto" w:sz="4" w:space="0"/>
              <w:bottom w:val="single" w:color="auto" w:sz="4" w:space="0"/>
              <w:right w:val="single" w:color="auto" w:sz="4" w:space="0"/>
            </w:tcBorders>
            <w:noWrap/>
          </w:tcPr>
          <w:p w14:paraId="386214BD">
            <w:pPr>
              <w:widowControl/>
              <w:autoSpaceDE/>
              <w:autoSpaceDN/>
              <w:adjustRightInd/>
              <w:rPr>
                <w:sz w:val="22"/>
                <w:szCs w:val="22"/>
              </w:rPr>
            </w:pPr>
            <w:r>
              <w:rPr>
                <w:sz w:val="22"/>
                <w:szCs w:val="22"/>
              </w:rPr>
              <w:t>туристический налог</w:t>
            </w:r>
          </w:p>
        </w:tc>
        <w:tc>
          <w:tcPr>
            <w:tcW w:w="1422" w:type="dxa"/>
            <w:tcBorders>
              <w:top w:val="single" w:color="auto" w:sz="4" w:space="0"/>
              <w:left w:val="single" w:color="auto" w:sz="4" w:space="0"/>
              <w:bottom w:val="single" w:color="auto" w:sz="4" w:space="0"/>
              <w:right w:val="single" w:color="auto" w:sz="4" w:space="0"/>
            </w:tcBorders>
            <w:noWrap/>
            <w:vAlign w:val="bottom"/>
          </w:tcPr>
          <w:p w14:paraId="25C27A3E">
            <w:pPr>
              <w:widowControl/>
              <w:autoSpaceDE/>
              <w:autoSpaceDN/>
              <w:adjustRightInd/>
              <w:jc w:val="center"/>
              <w:rPr>
                <w:sz w:val="22"/>
                <w:szCs w:val="22"/>
              </w:rPr>
            </w:pPr>
            <w:r>
              <w:rPr>
                <w:sz w:val="22"/>
                <w:szCs w:val="22"/>
              </w:rPr>
              <w:t>3,0</w:t>
            </w:r>
          </w:p>
        </w:tc>
        <w:tc>
          <w:tcPr>
            <w:tcW w:w="1418" w:type="dxa"/>
            <w:tcBorders>
              <w:top w:val="single" w:color="auto" w:sz="4" w:space="0"/>
              <w:left w:val="single" w:color="auto" w:sz="4" w:space="0"/>
              <w:bottom w:val="single" w:color="auto" w:sz="4" w:space="0"/>
              <w:right w:val="single" w:color="auto" w:sz="4" w:space="0"/>
            </w:tcBorders>
            <w:noWrap/>
            <w:vAlign w:val="bottom"/>
          </w:tcPr>
          <w:p w14:paraId="30D85F5C">
            <w:pPr>
              <w:widowControl/>
              <w:autoSpaceDE/>
              <w:autoSpaceDN/>
              <w:adjustRightInd/>
              <w:jc w:val="center"/>
              <w:rPr>
                <w:sz w:val="22"/>
                <w:szCs w:val="22"/>
              </w:rPr>
            </w:pPr>
            <w:r>
              <w:rPr>
                <w:sz w:val="22"/>
                <w:szCs w:val="22"/>
              </w:rPr>
              <w:t>4,0</w:t>
            </w:r>
          </w:p>
        </w:tc>
        <w:tc>
          <w:tcPr>
            <w:tcW w:w="1413" w:type="dxa"/>
            <w:tcBorders>
              <w:top w:val="single" w:color="auto" w:sz="4" w:space="0"/>
              <w:left w:val="single" w:color="auto" w:sz="4" w:space="0"/>
              <w:bottom w:val="single" w:color="auto" w:sz="4" w:space="0"/>
              <w:right w:val="single" w:color="auto" w:sz="4" w:space="0"/>
            </w:tcBorders>
            <w:noWrap/>
            <w:vAlign w:val="bottom"/>
          </w:tcPr>
          <w:p w14:paraId="77CF2728">
            <w:pPr>
              <w:widowControl/>
              <w:autoSpaceDE/>
              <w:autoSpaceDN/>
              <w:adjustRightInd/>
              <w:jc w:val="center"/>
              <w:rPr>
                <w:sz w:val="22"/>
                <w:szCs w:val="22"/>
              </w:rPr>
            </w:pPr>
            <w:r>
              <w:rPr>
                <w:sz w:val="22"/>
                <w:szCs w:val="22"/>
              </w:rPr>
              <w:t>5,0</w:t>
            </w:r>
          </w:p>
        </w:tc>
      </w:tr>
      <w:tr w14:paraId="0CC5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5D030551">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57EFD515">
            <w:pPr>
              <w:widowControl/>
              <w:autoSpaceDE/>
              <w:autoSpaceDN/>
              <w:adjustRightInd/>
              <w:rPr>
                <w:sz w:val="22"/>
                <w:szCs w:val="22"/>
              </w:rPr>
            </w:pPr>
          </w:p>
        </w:tc>
        <w:tc>
          <w:tcPr>
            <w:tcW w:w="1422" w:type="dxa"/>
            <w:tcBorders>
              <w:top w:val="single" w:color="auto" w:sz="4" w:space="0"/>
              <w:left w:val="single" w:color="auto" w:sz="4" w:space="0"/>
              <w:bottom w:val="single" w:color="auto" w:sz="4" w:space="0"/>
              <w:right w:val="single" w:color="auto" w:sz="4" w:space="0"/>
            </w:tcBorders>
            <w:noWrap/>
            <w:vAlign w:val="bottom"/>
          </w:tcPr>
          <w:p w14:paraId="26CE6C9C">
            <w:pPr>
              <w:widowControl/>
              <w:autoSpaceDE/>
              <w:autoSpaceDN/>
              <w:adjustRightInd/>
              <w:rPr>
                <w:sz w:val="22"/>
                <w:szCs w:val="22"/>
              </w:rPr>
            </w:pPr>
          </w:p>
        </w:tc>
        <w:tc>
          <w:tcPr>
            <w:tcW w:w="1418" w:type="dxa"/>
            <w:tcBorders>
              <w:top w:val="single" w:color="auto" w:sz="4" w:space="0"/>
              <w:left w:val="single" w:color="auto" w:sz="4" w:space="0"/>
              <w:bottom w:val="single" w:color="auto" w:sz="4" w:space="0"/>
              <w:right w:val="single" w:color="auto" w:sz="4" w:space="0"/>
            </w:tcBorders>
            <w:noWrap/>
            <w:vAlign w:val="bottom"/>
          </w:tcPr>
          <w:p w14:paraId="58295850">
            <w:pPr>
              <w:widowControl/>
              <w:autoSpaceDE/>
              <w:autoSpaceDN/>
              <w:adjustRightInd/>
              <w:rPr>
                <w:sz w:val="22"/>
                <w:szCs w:val="22"/>
              </w:rPr>
            </w:pPr>
          </w:p>
        </w:tc>
        <w:tc>
          <w:tcPr>
            <w:tcW w:w="1413" w:type="dxa"/>
            <w:tcBorders>
              <w:top w:val="single" w:color="auto" w:sz="4" w:space="0"/>
              <w:left w:val="single" w:color="auto" w:sz="4" w:space="0"/>
              <w:bottom w:val="single" w:color="auto" w:sz="4" w:space="0"/>
              <w:right w:val="single" w:color="auto" w:sz="4" w:space="0"/>
            </w:tcBorders>
            <w:noWrap/>
            <w:vAlign w:val="bottom"/>
          </w:tcPr>
          <w:p w14:paraId="452DE561">
            <w:pPr>
              <w:widowControl/>
              <w:autoSpaceDE/>
              <w:autoSpaceDN/>
              <w:adjustRightInd/>
              <w:rPr>
                <w:sz w:val="22"/>
                <w:szCs w:val="22"/>
              </w:rPr>
            </w:pPr>
          </w:p>
        </w:tc>
      </w:tr>
      <w:tr w14:paraId="126A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1469A272">
            <w:pPr>
              <w:widowControl/>
              <w:autoSpaceDE/>
              <w:autoSpaceDN/>
              <w:adjustRightInd/>
              <w:jc w:val="center"/>
              <w:rPr>
                <w:sz w:val="22"/>
                <w:szCs w:val="22"/>
              </w:rPr>
            </w:pPr>
          </w:p>
        </w:tc>
        <w:tc>
          <w:tcPr>
            <w:tcW w:w="4536" w:type="dxa"/>
            <w:tcBorders>
              <w:top w:val="single" w:color="auto" w:sz="4" w:space="0"/>
              <w:left w:val="single" w:color="auto" w:sz="4" w:space="0"/>
              <w:bottom w:val="single" w:color="auto" w:sz="4" w:space="0"/>
              <w:right w:val="single" w:color="auto" w:sz="4" w:space="0"/>
            </w:tcBorders>
            <w:noWrap/>
          </w:tcPr>
          <w:p w14:paraId="3389BAF1">
            <w:pPr>
              <w:widowControl/>
              <w:autoSpaceDE/>
              <w:autoSpaceDN/>
              <w:adjustRightInd/>
              <w:rPr>
                <w:sz w:val="22"/>
                <w:szCs w:val="22"/>
              </w:rPr>
            </w:pPr>
          </w:p>
        </w:tc>
        <w:tc>
          <w:tcPr>
            <w:tcW w:w="1422" w:type="dxa"/>
            <w:tcBorders>
              <w:top w:val="single" w:color="auto" w:sz="4" w:space="0"/>
              <w:left w:val="single" w:color="auto" w:sz="4" w:space="0"/>
              <w:bottom w:val="single" w:color="auto" w:sz="4" w:space="0"/>
              <w:right w:val="single" w:color="auto" w:sz="4" w:space="0"/>
            </w:tcBorders>
            <w:noWrap/>
            <w:vAlign w:val="bottom"/>
          </w:tcPr>
          <w:p w14:paraId="45D58CFD">
            <w:pPr>
              <w:widowControl/>
              <w:autoSpaceDE/>
              <w:autoSpaceDN/>
              <w:adjustRightInd/>
              <w:rPr>
                <w:sz w:val="22"/>
                <w:szCs w:val="22"/>
              </w:rPr>
            </w:pPr>
          </w:p>
        </w:tc>
        <w:tc>
          <w:tcPr>
            <w:tcW w:w="1418" w:type="dxa"/>
            <w:tcBorders>
              <w:top w:val="single" w:color="auto" w:sz="4" w:space="0"/>
              <w:left w:val="single" w:color="auto" w:sz="4" w:space="0"/>
              <w:bottom w:val="single" w:color="auto" w:sz="4" w:space="0"/>
              <w:right w:val="single" w:color="auto" w:sz="4" w:space="0"/>
            </w:tcBorders>
            <w:noWrap/>
            <w:vAlign w:val="bottom"/>
          </w:tcPr>
          <w:p w14:paraId="2C8E8CCB">
            <w:pPr>
              <w:widowControl/>
              <w:autoSpaceDE/>
              <w:autoSpaceDN/>
              <w:adjustRightInd/>
              <w:rPr>
                <w:sz w:val="22"/>
                <w:szCs w:val="22"/>
              </w:rPr>
            </w:pPr>
          </w:p>
        </w:tc>
        <w:tc>
          <w:tcPr>
            <w:tcW w:w="1413" w:type="dxa"/>
            <w:tcBorders>
              <w:top w:val="single" w:color="auto" w:sz="4" w:space="0"/>
              <w:left w:val="single" w:color="auto" w:sz="4" w:space="0"/>
              <w:bottom w:val="single" w:color="auto" w:sz="4" w:space="0"/>
              <w:right w:val="single" w:color="auto" w:sz="4" w:space="0"/>
            </w:tcBorders>
            <w:noWrap/>
            <w:vAlign w:val="bottom"/>
          </w:tcPr>
          <w:p w14:paraId="73BC1B23">
            <w:pPr>
              <w:widowControl/>
              <w:autoSpaceDE/>
              <w:autoSpaceDN/>
              <w:adjustRightInd/>
              <w:rPr>
                <w:sz w:val="22"/>
                <w:szCs w:val="22"/>
              </w:rPr>
            </w:pPr>
          </w:p>
        </w:tc>
      </w:tr>
    </w:tbl>
    <w:p w14:paraId="178C4D0E">
      <w:pPr>
        <w:pStyle w:val="8"/>
        <w:shd w:val="clear" w:color="auto" w:fill="auto"/>
        <w:spacing w:before="0" w:after="0" w:line="276" w:lineRule="auto"/>
        <w:ind w:left="0" w:leftChars="0" w:right="20" w:firstLine="396" w:firstLineChars="165"/>
        <w:jc w:val="both"/>
        <w:rPr>
          <w:rFonts w:hint="default" w:ascii="Times New Roman" w:hAnsi="Times New Roman"/>
          <w:sz w:val="24"/>
          <w:szCs w:val="24"/>
          <w:lang w:val="ru-RU"/>
        </w:rPr>
      </w:pPr>
      <w:r>
        <w:rPr>
          <w:rFonts w:hint="default" w:ascii="Times New Roman" w:hAnsi="Times New Roman"/>
          <w:sz w:val="24"/>
          <w:szCs w:val="24"/>
          <w:lang w:val="ru-RU"/>
        </w:rPr>
        <w:t xml:space="preserve"> При анализе поступления данных налогов в бюджет сельских поселений в 2025 году установлено, что туристический налог поступал в бюджет сельского поселения «Дульдурга», на 01.11.2025 года по данным отчета об исполнении бюджета сельского поселения «Дульдурга» поступление туристического налога составило 886,1 тыс.рублей. Из чего следует, что запланированная сумма  на 2026-2028 годы могла быть и выше.</w:t>
      </w:r>
    </w:p>
    <w:p w14:paraId="4C686244">
      <w:pPr>
        <w:pStyle w:val="8"/>
        <w:shd w:val="clear" w:color="auto" w:fill="auto"/>
        <w:spacing w:before="0" w:after="0" w:line="276" w:lineRule="auto"/>
        <w:ind w:right="20"/>
        <w:jc w:val="both"/>
        <w:rPr>
          <w:rFonts w:hint="default" w:ascii="Times New Roman" w:hAnsi="Times New Roman"/>
          <w:sz w:val="24"/>
          <w:szCs w:val="24"/>
          <w:lang w:val="ru-RU"/>
        </w:rPr>
      </w:pPr>
      <w:r>
        <w:rPr>
          <w:rFonts w:hint="default" w:ascii="Times New Roman" w:hAnsi="Times New Roman"/>
          <w:sz w:val="24"/>
          <w:szCs w:val="24"/>
          <w:lang w:val="ru-RU"/>
        </w:rPr>
        <w:t>Для более точного прогнозирования поступлений туристического налога на 2026-2028 годы необходимо провести детальный анализ факторов, влияющих на туристический поток на источнике Алханай. К таким факторам относятся: сезонность, посещаемость туристов, проводимые мероприятия, инфраструктура, общая экономическая ситуация.</w:t>
      </w:r>
    </w:p>
    <w:p w14:paraId="2E162218">
      <w:pPr>
        <w:pStyle w:val="8"/>
        <w:shd w:val="clear" w:color="auto" w:fill="auto"/>
        <w:spacing w:before="0" w:after="0" w:line="276" w:lineRule="auto"/>
        <w:ind w:right="20"/>
        <w:jc w:val="both"/>
        <w:rPr>
          <w:rFonts w:hint="default" w:ascii="Times New Roman" w:hAnsi="Times New Roman"/>
          <w:sz w:val="24"/>
          <w:szCs w:val="24"/>
          <w:lang w:val="ru-RU"/>
        </w:rPr>
      </w:pPr>
      <w:r>
        <w:rPr>
          <w:rFonts w:hint="default" w:ascii="Times New Roman" w:hAnsi="Times New Roman"/>
          <w:sz w:val="24"/>
          <w:szCs w:val="24"/>
          <w:lang w:val="ru-RU"/>
        </w:rPr>
        <w:t xml:space="preserve">Кроме того, следует учитывать изменения в налоговом законодательстве, которые могут повлиять на размер туристического налога и порядок его взимания. На основе полученных данных следует разработать более реалистичный прогноз поступлений туристического налога на 2026-2028годы. </w:t>
      </w:r>
    </w:p>
    <w:p w14:paraId="2226BA6D">
      <w:pPr>
        <w:pStyle w:val="8"/>
        <w:shd w:val="clear" w:color="auto" w:fill="auto"/>
        <w:spacing w:before="0" w:after="0" w:line="276" w:lineRule="auto"/>
        <w:ind w:right="20" w:firstLine="426"/>
        <w:jc w:val="both"/>
        <w:rPr>
          <w:rFonts w:ascii="Times New Roman" w:hAnsi="Times New Roman"/>
          <w:sz w:val="24"/>
          <w:szCs w:val="24"/>
        </w:rPr>
      </w:pPr>
      <w:r>
        <w:rPr>
          <w:rFonts w:ascii="Times New Roman" w:hAnsi="Times New Roman"/>
          <w:b/>
          <w:sz w:val="24"/>
          <w:szCs w:val="24"/>
        </w:rPr>
        <w:t>Объем безвозмездных поступлений</w:t>
      </w:r>
      <w:r>
        <w:rPr>
          <w:rFonts w:ascii="Times New Roman" w:hAnsi="Times New Roman"/>
          <w:sz w:val="24"/>
          <w:szCs w:val="24"/>
        </w:rPr>
        <w:t xml:space="preserve"> в бюджет муниципального округа запланирован в 2026 году в объеме 845 869,8 тыс. рублей, в 2027 году в объеме 722 610,1 тыс. рублей, в 2028 году в объеме 682 702,7 тыс. рублей.</w:t>
      </w:r>
    </w:p>
    <w:p w14:paraId="42CABAEB">
      <w:pPr>
        <w:widowControl/>
        <w:shd w:val="clear" w:color="auto" w:fill="FFFFFF"/>
        <w:autoSpaceDE/>
        <w:autoSpaceDN/>
        <w:adjustRightInd/>
        <w:spacing w:line="360" w:lineRule="auto"/>
        <w:ind w:firstLine="709"/>
        <w:jc w:val="both"/>
        <w:rPr>
          <w:bCs/>
          <w:sz w:val="24"/>
          <w:szCs w:val="24"/>
        </w:rPr>
      </w:pPr>
      <w:r>
        <w:rPr>
          <w:bCs/>
          <w:sz w:val="24"/>
          <w:szCs w:val="24"/>
        </w:rPr>
        <w:t>Динамика безвозмездных поступлений приведена в следующей таблице:</w:t>
      </w:r>
    </w:p>
    <w:p w14:paraId="7671A29C">
      <w:pPr>
        <w:widowControl/>
        <w:shd w:val="clear" w:color="auto" w:fill="FFFFFF"/>
        <w:autoSpaceDE/>
        <w:autoSpaceDN/>
        <w:adjustRightInd/>
        <w:ind w:left="34" w:firstLine="697"/>
        <w:jc w:val="both"/>
        <w:rPr>
          <w:bCs/>
          <w:sz w:val="16"/>
          <w:szCs w:val="16"/>
        </w:rPr>
      </w:pPr>
    </w:p>
    <w:tbl>
      <w:tblPr>
        <w:tblStyle w:val="3"/>
        <w:tblW w:w="935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861"/>
        <w:gridCol w:w="1559"/>
        <w:gridCol w:w="1559"/>
        <w:gridCol w:w="1560"/>
      </w:tblGrid>
      <w:tr w14:paraId="386B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17" w:type="dxa"/>
            <w:tcBorders>
              <w:top w:val="single" w:color="auto" w:sz="4" w:space="0"/>
              <w:left w:val="single" w:color="auto" w:sz="4" w:space="0"/>
              <w:bottom w:val="single" w:color="auto" w:sz="4" w:space="0"/>
              <w:right w:val="single" w:color="auto" w:sz="4" w:space="0"/>
            </w:tcBorders>
            <w:noWrap/>
            <w:vAlign w:val="bottom"/>
          </w:tcPr>
          <w:p w14:paraId="00782154">
            <w:pPr>
              <w:widowControl/>
              <w:autoSpaceDE/>
              <w:autoSpaceDN/>
              <w:adjustRightInd/>
              <w:jc w:val="center"/>
              <w:rPr>
                <w:bCs/>
                <w:sz w:val="22"/>
                <w:szCs w:val="22"/>
              </w:rPr>
            </w:pPr>
          </w:p>
        </w:tc>
        <w:tc>
          <w:tcPr>
            <w:tcW w:w="3861" w:type="dxa"/>
            <w:tcBorders>
              <w:top w:val="single" w:color="auto" w:sz="4" w:space="0"/>
              <w:left w:val="single" w:color="auto" w:sz="4" w:space="0"/>
              <w:bottom w:val="single" w:color="auto" w:sz="4" w:space="0"/>
              <w:right w:val="single" w:color="auto" w:sz="4" w:space="0"/>
            </w:tcBorders>
            <w:noWrap/>
          </w:tcPr>
          <w:p w14:paraId="1BA3414D">
            <w:pPr>
              <w:widowControl/>
              <w:autoSpaceDE/>
              <w:autoSpaceDN/>
              <w:adjustRightInd/>
              <w:jc w:val="center"/>
              <w:rPr>
                <w:b/>
                <w:sz w:val="22"/>
                <w:szCs w:val="22"/>
              </w:rPr>
            </w:pPr>
            <w:r>
              <w:rPr>
                <w:b/>
                <w:sz w:val="22"/>
                <w:szCs w:val="22"/>
              </w:rPr>
              <w:t>Объем безвозмездных поступлений</w:t>
            </w:r>
          </w:p>
        </w:tc>
        <w:tc>
          <w:tcPr>
            <w:tcW w:w="1559" w:type="dxa"/>
            <w:tcBorders>
              <w:top w:val="single" w:color="auto" w:sz="4" w:space="0"/>
              <w:left w:val="single" w:color="auto" w:sz="4" w:space="0"/>
              <w:bottom w:val="single" w:color="auto" w:sz="4" w:space="0"/>
              <w:right w:val="single" w:color="auto" w:sz="4" w:space="0"/>
            </w:tcBorders>
            <w:noWrap/>
            <w:vAlign w:val="center"/>
          </w:tcPr>
          <w:p w14:paraId="610CD9C6">
            <w:pPr>
              <w:widowControl/>
              <w:autoSpaceDE/>
              <w:autoSpaceDN/>
              <w:adjustRightInd/>
              <w:jc w:val="center"/>
              <w:rPr>
                <w:b/>
                <w:bCs/>
                <w:sz w:val="22"/>
                <w:szCs w:val="22"/>
              </w:rPr>
            </w:pPr>
            <w:r>
              <w:rPr>
                <w:b/>
                <w:sz w:val="22"/>
                <w:szCs w:val="22"/>
              </w:rPr>
              <w:t>2026 год</w:t>
            </w:r>
          </w:p>
        </w:tc>
        <w:tc>
          <w:tcPr>
            <w:tcW w:w="1559" w:type="dxa"/>
            <w:tcBorders>
              <w:top w:val="single" w:color="auto" w:sz="4" w:space="0"/>
              <w:left w:val="single" w:color="auto" w:sz="4" w:space="0"/>
              <w:bottom w:val="single" w:color="auto" w:sz="4" w:space="0"/>
              <w:right w:val="single" w:color="auto" w:sz="4" w:space="0"/>
            </w:tcBorders>
            <w:noWrap/>
            <w:vAlign w:val="center"/>
          </w:tcPr>
          <w:p w14:paraId="450B6C1D">
            <w:pPr>
              <w:widowControl/>
              <w:autoSpaceDE/>
              <w:autoSpaceDN/>
              <w:adjustRightInd/>
              <w:jc w:val="center"/>
              <w:rPr>
                <w:b/>
                <w:bCs/>
                <w:sz w:val="22"/>
                <w:szCs w:val="22"/>
              </w:rPr>
            </w:pPr>
            <w:r>
              <w:rPr>
                <w:b/>
                <w:sz w:val="22"/>
                <w:szCs w:val="22"/>
              </w:rPr>
              <w:t>2027 год</w:t>
            </w:r>
          </w:p>
        </w:tc>
        <w:tc>
          <w:tcPr>
            <w:tcW w:w="1560" w:type="dxa"/>
            <w:tcBorders>
              <w:top w:val="single" w:color="auto" w:sz="4" w:space="0"/>
              <w:left w:val="single" w:color="auto" w:sz="4" w:space="0"/>
              <w:bottom w:val="single" w:color="auto" w:sz="4" w:space="0"/>
              <w:right w:val="single" w:color="auto" w:sz="4" w:space="0"/>
            </w:tcBorders>
            <w:noWrap/>
            <w:vAlign w:val="center"/>
          </w:tcPr>
          <w:p w14:paraId="623F7B56">
            <w:pPr>
              <w:widowControl/>
              <w:autoSpaceDE/>
              <w:autoSpaceDN/>
              <w:adjustRightInd/>
              <w:jc w:val="center"/>
              <w:rPr>
                <w:b/>
                <w:bCs/>
                <w:sz w:val="22"/>
                <w:szCs w:val="22"/>
              </w:rPr>
            </w:pPr>
            <w:r>
              <w:rPr>
                <w:b/>
                <w:sz w:val="22"/>
                <w:szCs w:val="22"/>
              </w:rPr>
              <w:t>2028 год</w:t>
            </w:r>
          </w:p>
        </w:tc>
      </w:tr>
      <w:tr w14:paraId="3337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17" w:type="dxa"/>
            <w:tcBorders>
              <w:top w:val="single" w:color="auto" w:sz="4" w:space="0"/>
              <w:left w:val="single" w:color="auto" w:sz="4" w:space="0"/>
              <w:bottom w:val="single" w:color="auto" w:sz="4" w:space="0"/>
              <w:right w:val="single" w:color="auto" w:sz="4" w:space="0"/>
            </w:tcBorders>
            <w:noWrap/>
          </w:tcPr>
          <w:p w14:paraId="0D54A556">
            <w:pPr>
              <w:widowControl/>
              <w:autoSpaceDE/>
              <w:autoSpaceDN/>
              <w:adjustRightInd/>
              <w:jc w:val="center"/>
              <w:rPr>
                <w:bCs/>
                <w:sz w:val="22"/>
                <w:szCs w:val="22"/>
              </w:rPr>
            </w:pPr>
            <w:r>
              <w:rPr>
                <w:bCs/>
                <w:sz w:val="22"/>
                <w:szCs w:val="22"/>
              </w:rPr>
              <w:t>1.</w:t>
            </w:r>
          </w:p>
        </w:tc>
        <w:tc>
          <w:tcPr>
            <w:tcW w:w="3861" w:type="dxa"/>
            <w:tcBorders>
              <w:top w:val="single" w:color="auto" w:sz="4" w:space="0"/>
              <w:left w:val="single" w:color="auto" w:sz="4" w:space="0"/>
              <w:bottom w:val="single" w:color="auto" w:sz="4" w:space="0"/>
              <w:right w:val="single" w:color="auto" w:sz="4" w:space="0"/>
            </w:tcBorders>
            <w:noWrap/>
          </w:tcPr>
          <w:p w14:paraId="0357968F">
            <w:pPr>
              <w:widowControl/>
              <w:autoSpaceDE/>
              <w:autoSpaceDN/>
              <w:adjustRightInd/>
              <w:rPr>
                <w:bCs/>
                <w:sz w:val="22"/>
                <w:szCs w:val="22"/>
              </w:rPr>
            </w:pPr>
            <w:r>
              <w:rPr>
                <w:bCs/>
                <w:sz w:val="22"/>
                <w:szCs w:val="22"/>
              </w:rPr>
              <w:t xml:space="preserve">Законопроект (2026-2028 гг.), </w:t>
            </w:r>
          </w:p>
          <w:p w14:paraId="523795E9">
            <w:pPr>
              <w:widowControl/>
              <w:autoSpaceDE/>
              <w:autoSpaceDN/>
              <w:adjustRightInd/>
              <w:rPr>
                <w:bCs/>
                <w:sz w:val="22"/>
                <w:szCs w:val="22"/>
              </w:rPr>
            </w:pPr>
            <w:r>
              <w:rPr>
                <w:bCs/>
                <w:sz w:val="22"/>
                <w:szCs w:val="22"/>
              </w:rPr>
              <w:t>тыс. рублей</w:t>
            </w:r>
          </w:p>
        </w:tc>
        <w:tc>
          <w:tcPr>
            <w:tcW w:w="1559" w:type="dxa"/>
            <w:tcBorders>
              <w:top w:val="single" w:color="auto" w:sz="4" w:space="0"/>
              <w:left w:val="single" w:color="auto" w:sz="4" w:space="0"/>
              <w:bottom w:val="single" w:color="auto" w:sz="4" w:space="0"/>
              <w:right w:val="single" w:color="auto" w:sz="4" w:space="0"/>
            </w:tcBorders>
            <w:noWrap/>
            <w:vAlign w:val="center"/>
          </w:tcPr>
          <w:p w14:paraId="397EDAB2">
            <w:pPr>
              <w:widowControl/>
              <w:autoSpaceDE/>
              <w:autoSpaceDN/>
              <w:adjustRightInd/>
              <w:jc w:val="center"/>
              <w:rPr>
                <w:bCs/>
                <w:sz w:val="22"/>
                <w:szCs w:val="22"/>
              </w:rPr>
            </w:pPr>
            <w:r>
              <w:rPr>
                <w:bCs/>
                <w:sz w:val="22"/>
                <w:szCs w:val="22"/>
              </w:rPr>
              <w:t>845 869,8</w:t>
            </w:r>
          </w:p>
        </w:tc>
        <w:tc>
          <w:tcPr>
            <w:tcW w:w="1559" w:type="dxa"/>
            <w:tcBorders>
              <w:top w:val="single" w:color="auto" w:sz="4" w:space="0"/>
              <w:left w:val="single" w:color="auto" w:sz="4" w:space="0"/>
              <w:bottom w:val="single" w:color="auto" w:sz="4" w:space="0"/>
              <w:right w:val="single" w:color="auto" w:sz="4" w:space="0"/>
            </w:tcBorders>
            <w:noWrap/>
            <w:vAlign w:val="center"/>
          </w:tcPr>
          <w:p w14:paraId="5298AA57">
            <w:pPr>
              <w:widowControl/>
              <w:autoSpaceDE/>
              <w:autoSpaceDN/>
              <w:adjustRightInd/>
              <w:jc w:val="center"/>
              <w:rPr>
                <w:bCs/>
                <w:sz w:val="22"/>
                <w:szCs w:val="22"/>
              </w:rPr>
            </w:pPr>
            <w:r>
              <w:rPr>
                <w:bCs/>
                <w:sz w:val="22"/>
                <w:szCs w:val="22"/>
              </w:rPr>
              <w:t>722  610,1</w:t>
            </w:r>
          </w:p>
        </w:tc>
        <w:tc>
          <w:tcPr>
            <w:tcW w:w="1560" w:type="dxa"/>
            <w:tcBorders>
              <w:top w:val="single" w:color="auto" w:sz="4" w:space="0"/>
              <w:left w:val="single" w:color="auto" w:sz="4" w:space="0"/>
              <w:bottom w:val="single" w:color="auto" w:sz="4" w:space="0"/>
              <w:right w:val="single" w:color="auto" w:sz="4" w:space="0"/>
            </w:tcBorders>
            <w:noWrap/>
            <w:vAlign w:val="center"/>
          </w:tcPr>
          <w:p w14:paraId="45CBB6FA">
            <w:pPr>
              <w:widowControl/>
              <w:autoSpaceDE/>
              <w:autoSpaceDN/>
              <w:adjustRightInd/>
              <w:jc w:val="center"/>
              <w:rPr>
                <w:bCs/>
                <w:sz w:val="22"/>
                <w:szCs w:val="22"/>
              </w:rPr>
            </w:pPr>
            <w:r>
              <w:rPr>
                <w:bCs/>
                <w:sz w:val="22"/>
                <w:szCs w:val="22"/>
              </w:rPr>
              <w:t>682 702,7</w:t>
            </w:r>
          </w:p>
        </w:tc>
      </w:tr>
      <w:tr w14:paraId="099F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724967CB">
            <w:pPr>
              <w:widowControl/>
              <w:autoSpaceDE/>
              <w:autoSpaceDN/>
              <w:adjustRightInd/>
              <w:jc w:val="center"/>
              <w:rPr>
                <w:sz w:val="22"/>
                <w:szCs w:val="22"/>
              </w:rPr>
            </w:pPr>
            <w:r>
              <w:rPr>
                <w:sz w:val="22"/>
                <w:szCs w:val="22"/>
              </w:rPr>
              <w:t>1.1</w:t>
            </w:r>
          </w:p>
        </w:tc>
        <w:tc>
          <w:tcPr>
            <w:tcW w:w="3861" w:type="dxa"/>
            <w:tcBorders>
              <w:top w:val="single" w:color="auto" w:sz="4" w:space="0"/>
              <w:left w:val="single" w:color="auto" w:sz="4" w:space="0"/>
              <w:bottom w:val="single" w:color="auto" w:sz="4" w:space="0"/>
              <w:right w:val="single" w:color="auto" w:sz="4" w:space="0"/>
            </w:tcBorders>
            <w:noWrap/>
          </w:tcPr>
          <w:p w14:paraId="051FD647">
            <w:pPr>
              <w:widowControl/>
              <w:autoSpaceDE/>
              <w:autoSpaceDN/>
              <w:adjustRightInd/>
              <w:rPr>
                <w:sz w:val="22"/>
                <w:szCs w:val="22"/>
              </w:rPr>
            </w:pPr>
            <w:r>
              <w:rPr>
                <w:sz w:val="22"/>
                <w:szCs w:val="22"/>
              </w:rPr>
              <w:t>к предыдущему году,  тыс. руб</w:t>
            </w:r>
            <w:r>
              <w:rPr>
                <w:bCs/>
                <w:sz w:val="22"/>
                <w:szCs w:val="22"/>
              </w:rPr>
              <w:t>лей</w:t>
            </w:r>
          </w:p>
        </w:tc>
        <w:tc>
          <w:tcPr>
            <w:tcW w:w="1559" w:type="dxa"/>
            <w:tcBorders>
              <w:top w:val="single" w:color="auto" w:sz="4" w:space="0"/>
              <w:left w:val="single" w:color="auto" w:sz="4" w:space="0"/>
              <w:bottom w:val="single" w:color="auto" w:sz="4" w:space="0"/>
              <w:right w:val="single" w:color="auto" w:sz="4" w:space="0"/>
            </w:tcBorders>
            <w:noWrap/>
            <w:vAlign w:val="center"/>
          </w:tcPr>
          <w:p w14:paraId="316C1B44">
            <w:pPr>
              <w:widowControl/>
              <w:autoSpaceDE/>
              <w:autoSpaceDN/>
              <w:adjustRightInd/>
              <w:jc w:val="center"/>
              <w:rPr>
                <w:sz w:val="22"/>
                <w:szCs w:val="22"/>
              </w:rPr>
            </w:pPr>
            <w:r>
              <w:rPr>
                <w:rFonts w:hint="default"/>
                <w:sz w:val="22"/>
                <w:szCs w:val="22"/>
                <w:lang w:val="ru-RU"/>
              </w:rPr>
              <w:t>-</w:t>
            </w:r>
            <w:r>
              <w:rPr>
                <w:sz w:val="22"/>
                <w:szCs w:val="22"/>
              </w:rPr>
              <w:t>349 544,9</w:t>
            </w:r>
          </w:p>
        </w:tc>
        <w:tc>
          <w:tcPr>
            <w:tcW w:w="1559" w:type="dxa"/>
            <w:tcBorders>
              <w:top w:val="single" w:color="auto" w:sz="4" w:space="0"/>
              <w:left w:val="single" w:color="auto" w:sz="4" w:space="0"/>
              <w:bottom w:val="single" w:color="auto" w:sz="4" w:space="0"/>
              <w:right w:val="single" w:color="auto" w:sz="4" w:space="0"/>
            </w:tcBorders>
            <w:noWrap/>
            <w:vAlign w:val="center"/>
          </w:tcPr>
          <w:p w14:paraId="1B5EBF65">
            <w:pPr>
              <w:widowControl/>
              <w:autoSpaceDE/>
              <w:autoSpaceDN/>
              <w:adjustRightInd/>
              <w:jc w:val="center"/>
              <w:rPr>
                <w:sz w:val="22"/>
                <w:szCs w:val="22"/>
              </w:rPr>
            </w:pPr>
            <w:r>
              <w:rPr>
                <w:sz w:val="22"/>
                <w:szCs w:val="22"/>
              </w:rPr>
              <w:t>-123 259,7</w:t>
            </w:r>
          </w:p>
        </w:tc>
        <w:tc>
          <w:tcPr>
            <w:tcW w:w="1560" w:type="dxa"/>
            <w:tcBorders>
              <w:top w:val="single" w:color="auto" w:sz="4" w:space="0"/>
              <w:left w:val="single" w:color="auto" w:sz="4" w:space="0"/>
              <w:bottom w:val="single" w:color="auto" w:sz="4" w:space="0"/>
              <w:right w:val="single" w:color="auto" w:sz="4" w:space="0"/>
            </w:tcBorders>
            <w:noWrap/>
            <w:vAlign w:val="center"/>
          </w:tcPr>
          <w:p w14:paraId="1CE1484E">
            <w:pPr>
              <w:widowControl/>
              <w:autoSpaceDE/>
              <w:autoSpaceDN/>
              <w:adjustRightInd/>
              <w:jc w:val="center"/>
              <w:rPr>
                <w:sz w:val="22"/>
                <w:szCs w:val="22"/>
              </w:rPr>
            </w:pPr>
            <w:r>
              <w:rPr>
                <w:sz w:val="22"/>
                <w:szCs w:val="22"/>
              </w:rPr>
              <w:t>-39 907,4</w:t>
            </w:r>
          </w:p>
        </w:tc>
      </w:tr>
      <w:tr w14:paraId="6BEC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4B83BC8D">
            <w:pPr>
              <w:widowControl/>
              <w:autoSpaceDE/>
              <w:autoSpaceDN/>
              <w:adjustRightInd/>
              <w:jc w:val="center"/>
              <w:rPr>
                <w:sz w:val="22"/>
                <w:szCs w:val="22"/>
              </w:rPr>
            </w:pPr>
            <w:r>
              <w:rPr>
                <w:sz w:val="22"/>
                <w:szCs w:val="22"/>
              </w:rPr>
              <w:t>1.2</w:t>
            </w:r>
          </w:p>
        </w:tc>
        <w:tc>
          <w:tcPr>
            <w:tcW w:w="3861" w:type="dxa"/>
            <w:tcBorders>
              <w:top w:val="single" w:color="auto" w:sz="4" w:space="0"/>
              <w:left w:val="single" w:color="auto" w:sz="4" w:space="0"/>
              <w:bottom w:val="single" w:color="auto" w:sz="4" w:space="0"/>
              <w:right w:val="single" w:color="auto" w:sz="4" w:space="0"/>
            </w:tcBorders>
            <w:noWrap/>
          </w:tcPr>
          <w:p w14:paraId="17E53A67">
            <w:pPr>
              <w:widowControl/>
              <w:autoSpaceDE/>
              <w:autoSpaceDN/>
              <w:adjustRightInd/>
              <w:rPr>
                <w:sz w:val="22"/>
                <w:szCs w:val="22"/>
              </w:rPr>
            </w:pPr>
            <w:r>
              <w:rPr>
                <w:sz w:val="22"/>
                <w:szCs w:val="22"/>
              </w:rPr>
              <w:t>к предыдущему году, %</w:t>
            </w:r>
          </w:p>
        </w:tc>
        <w:tc>
          <w:tcPr>
            <w:tcW w:w="1559" w:type="dxa"/>
            <w:tcBorders>
              <w:top w:val="single" w:color="auto" w:sz="4" w:space="0"/>
              <w:left w:val="single" w:color="auto" w:sz="4" w:space="0"/>
              <w:bottom w:val="single" w:color="auto" w:sz="4" w:space="0"/>
              <w:right w:val="single" w:color="auto" w:sz="4" w:space="0"/>
            </w:tcBorders>
            <w:noWrap/>
            <w:vAlign w:val="center"/>
          </w:tcPr>
          <w:p w14:paraId="4FFE3857">
            <w:pPr>
              <w:widowControl/>
              <w:autoSpaceDE/>
              <w:autoSpaceDN/>
              <w:adjustRightInd/>
              <w:jc w:val="center"/>
              <w:rPr>
                <w:sz w:val="22"/>
                <w:szCs w:val="22"/>
              </w:rPr>
            </w:pPr>
            <w:r>
              <w:rPr>
                <w:sz w:val="22"/>
                <w:szCs w:val="22"/>
              </w:rPr>
              <w:t>70,8</w:t>
            </w:r>
          </w:p>
        </w:tc>
        <w:tc>
          <w:tcPr>
            <w:tcW w:w="1559" w:type="dxa"/>
            <w:tcBorders>
              <w:top w:val="single" w:color="auto" w:sz="4" w:space="0"/>
              <w:left w:val="single" w:color="auto" w:sz="4" w:space="0"/>
              <w:bottom w:val="single" w:color="auto" w:sz="4" w:space="0"/>
              <w:right w:val="single" w:color="auto" w:sz="4" w:space="0"/>
            </w:tcBorders>
            <w:noWrap/>
            <w:vAlign w:val="center"/>
          </w:tcPr>
          <w:p w14:paraId="66C440EA">
            <w:pPr>
              <w:widowControl/>
              <w:autoSpaceDE/>
              <w:autoSpaceDN/>
              <w:adjustRightInd/>
              <w:jc w:val="center"/>
              <w:rPr>
                <w:sz w:val="22"/>
                <w:szCs w:val="22"/>
              </w:rPr>
            </w:pPr>
            <w:r>
              <w:rPr>
                <w:sz w:val="22"/>
                <w:szCs w:val="22"/>
              </w:rPr>
              <w:t>85,4</w:t>
            </w:r>
          </w:p>
        </w:tc>
        <w:tc>
          <w:tcPr>
            <w:tcW w:w="1560" w:type="dxa"/>
            <w:tcBorders>
              <w:top w:val="single" w:color="auto" w:sz="4" w:space="0"/>
              <w:left w:val="single" w:color="auto" w:sz="4" w:space="0"/>
              <w:bottom w:val="single" w:color="auto" w:sz="4" w:space="0"/>
              <w:right w:val="single" w:color="auto" w:sz="4" w:space="0"/>
            </w:tcBorders>
            <w:noWrap/>
            <w:vAlign w:val="center"/>
          </w:tcPr>
          <w:p w14:paraId="11FB2CA6">
            <w:pPr>
              <w:widowControl/>
              <w:autoSpaceDE/>
              <w:autoSpaceDN/>
              <w:adjustRightInd/>
              <w:jc w:val="center"/>
              <w:rPr>
                <w:sz w:val="22"/>
                <w:szCs w:val="22"/>
              </w:rPr>
            </w:pPr>
            <w:r>
              <w:rPr>
                <w:sz w:val="22"/>
                <w:szCs w:val="22"/>
              </w:rPr>
              <w:t>94,5</w:t>
            </w:r>
          </w:p>
        </w:tc>
      </w:tr>
      <w:tr w14:paraId="16A9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7" w:type="dxa"/>
            <w:tcBorders>
              <w:top w:val="single" w:color="auto" w:sz="4" w:space="0"/>
              <w:left w:val="single" w:color="auto" w:sz="4" w:space="0"/>
              <w:bottom w:val="single" w:color="auto" w:sz="4" w:space="0"/>
              <w:right w:val="single" w:color="auto" w:sz="4" w:space="0"/>
            </w:tcBorders>
            <w:noWrap/>
          </w:tcPr>
          <w:p w14:paraId="6E2C53A0">
            <w:pPr>
              <w:widowControl/>
              <w:autoSpaceDE/>
              <w:autoSpaceDN/>
              <w:adjustRightInd/>
              <w:jc w:val="center"/>
              <w:rPr>
                <w:sz w:val="22"/>
                <w:szCs w:val="22"/>
              </w:rPr>
            </w:pPr>
            <w:r>
              <w:rPr>
                <w:sz w:val="22"/>
                <w:szCs w:val="22"/>
              </w:rPr>
              <w:t>2</w:t>
            </w:r>
          </w:p>
        </w:tc>
        <w:tc>
          <w:tcPr>
            <w:tcW w:w="3861" w:type="dxa"/>
            <w:tcBorders>
              <w:top w:val="single" w:color="auto" w:sz="4" w:space="0"/>
              <w:left w:val="single" w:color="auto" w:sz="4" w:space="0"/>
              <w:bottom w:val="single" w:color="auto" w:sz="4" w:space="0"/>
              <w:right w:val="single" w:color="auto" w:sz="4" w:space="0"/>
            </w:tcBorders>
            <w:noWrap/>
          </w:tcPr>
          <w:p w14:paraId="35911EC8">
            <w:pPr>
              <w:widowControl/>
              <w:autoSpaceDE/>
              <w:autoSpaceDN/>
              <w:adjustRightInd/>
              <w:rPr>
                <w:sz w:val="22"/>
                <w:szCs w:val="22"/>
              </w:rPr>
            </w:pPr>
            <w:r>
              <w:rPr>
                <w:sz w:val="22"/>
                <w:szCs w:val="22"/>
              </w:rPr>
              <w:t>Ожидаемая оценка за 2025 год</w:t>
            </w:r>
          </w:p>
        </w:tc>
        <w:tc>
          <w:tcPr>
            <w:tcW w:w="1559" w:type="dxa"/>
            <w:tcBorders>
              <w:top w:val="single" w:color="auto" w:sz="4" w:space="0"/>
              <w:left w:val="single" w:color="auto" w:sz="4" w:space="0"/>
              <w:bottom w:val="single" w:color="auto" w:sz="4" w:space="0"/>
              <w:right w:val="single" w:color="auto" w:sz="4" w:space="0"/>
            </w:tcBorders>
            <w:noWrap/>
            <w:vAlign w:val="center"/>
          </w:tcPr>
          <w:p w14:paraId="1B56A9A9">
            <w:pPr>
              <w:widowControl/>
              <w:autoSpaceDE/>
              <w:autoSpaceDN/>
              <w:adjustRightInd/>
              <w:jc w:val="center"/>
              <w:rPr>
                <w:sz w:val="22"/>
                <w:szCs w:val="22"/>
              </w:rPr>
            </w:pPr>
            <w:r>
              <w:rPr>
                <w:sz w:val="22"/>
                <w:szCs w:val="22"/>
              </w:rPr>
              <w:t>1 195 414,7</w:t>
            </w:r>
          </w:p>
        </w:tc>
        <w:tc>
          <w:tcPr>
            <w:tcW w:w="1559" w:type="dxa"/>
            <w:tcBorders>
              <w:top w:val="single" w:color="auto" w:sz="4" w:space="0"/>
              <w:left w:val="single" w:color="auto" w:sz="4" w:space="0"/>
              <w:bottom w:val="single" w:color="auto" w:sz="4" w:space="0"/>
              <w:right w:val="single" w:color="auto" w:sz="4" w:space="0"/>
            </w:tcBorders>
            <w:noWrap/>
            <w:vAlign w:val="center"/>
          </w:tcPr>
          <w:p w14:paraId="66B78B6A">
            <w:pPr>
              <w:widowControl/>
              <w:autoSpaceDE/>
              <w:autoSpaceDN/>
              <w:adjustRightInd/>
              <w:jc w:val="center"/>
              <w:rPr>
                <w:sz w:val="22"/>
                <w:szCs w:val="22"/>
                <w:lang w:val="en-US"/>
              </w:rPr>
            </w:pPr>
            <w:r>
              <w:rPr>
                <w:sz w:val="22"/>
                <w:szCs w:val="22"/>
                <w:lang w:val="en-US"/>
              </w:rPr>
              <w:t>X</w:t>
            </w:r>
          </w:p>
        </w:tc>
        <w:tc>
          <w:tcPr>
            <w:tcW w:w="1560" w:type="dxa"/>
            <w:tcBorders>
              <w:top w:val="single" w:color="auto" w:sz="4" w:space="0"/>
              <w:left w:val="single" w:color="auto" w:sz="4" w:space="0"/>
              <w:bottom w:val="single" w:color="auto" w:sz="4" w:space="0"/>
              <w:right w:val="single" w:color="auto" w:sz="4" w:space="0"/>
            </w:tcBorders>
            <w:noWrap/>
            <w:vAlign w:val="center"/>
          </w:tcPr>
          <w:p w14:paraId="2A6C453D">
            <w:pPr>
              <w:widowControl/>
              <w:autoSpaceDE/>
              <w:autoSpaceDN/>
              <w:adjustRightInd/>
              <w:jc w:val="center"/>
              <w:rPr>
                <w:sz w:val="22"/>
                <w:szCs w:val="22"/>
                <w:lang w:val="en-US"/>
              </w:rPr>
            </w:pPr>
            <w:r>
              <w:rPr>
                <w:sz w:val="22"/>
                <w:szCs w:val="22"/>
                <w:lang w:val="en-US"/>
              </w:rPr>
              <w:t>X</w:t>
            </w:r>
          </w:p>
        </w:tc>
      </w:tr>
    </w:tbl>
    <w:p w14:paraId="6D557451">
      <w:pPr>
        <w:pStyle w:val="8"/>
        <w:shd w:val="clear" w:color="auto" w:fill="auto"/>
        <w:spacing w:before="0" w:after="0" w:line="276" w:lineRule="auto"/>
        <w:ind w:right="20" w:firstLine="567"/>
        <w:jc w:val="both"/>
        <w:rPr>
          <w:rFonts w:ascii="Times New Roman" w:hAnsi="Times New Roman"/>
          <w:sz w:val="24"/>
          <w:szCs w:val="24"/>
        </w:rPr>
      </w:pPr>
    </w:p>
    <w:p w14:paraId="025C471C">
      <w:pPr>
        <w:pStyle w:val="8"/>
        <w:shd w:val="clear" w:color="auto" w:fill="auto"/>
        <w:tabs>
          <w:tab w:val="left" w:pos="284"/>
          <w:tab w:val="left" w:pos="426"/>
        </w:tabs>
        <w:spacing w:before="0" w:after="0" w:line="276" w:lineRule="auto"/>
        <w:ind w:right="20"/>
        <w:jc w:val="both"/>
        <w:rPr>
          <w:rFonts w:ascii="Times New Roman" w:hAnsi="Times New Roman"/>
          <w:sz w:val="24"/>
          <w:szCs w:val="24"/>
        </w:rPr>
      </w:pPr>
      <w:r>
        <w:rPr>
          <w:rFonts w:ascii="Times New Roman" w:hAnsi="Times New Roman"/>
          <w:sz w:val="24"/>
          <w:szCs w:val="24"/>
        </w:rPr>
        <w:t xml:space="preserve">       В 2026 году прогнозируемые поступления к ожидаемой оценке 2025 года запланированы на 70,8%, или на 349 544,9 тыс. рублей. Показатели 2027 года прогнозируются со снижением к данным 2026 года на 14,</w:t>
      </w:r>
      <w:r>
        <w:rPr>
          <w:rFonts w:hint="default" w:ascii="Times New Roman" w:hAnsi="Times New Roman"/>
          <w:sz w:val="24"/>
          <w:szCs w:val="24"/>
          <w:lang w:val="ru-RU"/>
        </w:rPr>
        <w:t>6</w:t>
      </w:r>
      <w:r>
        <w:rPr>
          <w:rFonts w:ascii="Times New Roman" w:hAnsi="Times New Roman"/>
          <w:sz w:val="24"/>
          <w:szCs w:val="24"/>
        </w:rPr>
        <w:t>%, показатели 2028 года к данным 2027 года с уменьшением  на 5,5%.</w:t>
      </w:r>
    </w:p>
    <w:p w14:paraId="29209E11">
      <w:pPr>
        <w:widowControl/>
        <w:spacing w:line="360" w:lineRule="auto"/>
        <w:ind w:firstLine="720"/>
        <w:jc w:val="both"/>
        <w:rPr>
          <w:bCs/>
          <w:sz w:val="24"/>
          <w:szCs w:val="24"/>
        </w:rPr>
      </w:pPr>
    </w:p>
    <w:p w14:paraId="635CC20D">
      <w:pPr>
        <w:widowControl/>
        <w:spacing w:line="360" w:lineRule="auto"/>
        <w:ind w:firstLine="720"/>
        <w:jc w:val="both"/>
        <w:rPr>
          <w:bCs/>
          <w:sz w:val="24"/>
          <w:szCs w:val="24"/>
        </w:rPr>
      </w:pPr>
      <w:r>
        <w:rPr>
          <w:bCs/>
          <w:sz w:val="24"/>
          <w:szCs w:val="24"/>
        </w:rPr>
        <w:t>Структура безвозмездных поступлений в 2026-2028 годах приведена в следующей таблице 3.4:</w:t>
      </w:r>
    </w:p>
    <w:p w14:paraId="788D4F53">
      <w:pPr>
        <w:widowControl/>
        <w:ind w:firstLine="720"/>
        <w:jc w:val="right"/>
        <w:rPr>
          <w:bCs/>
        </w:rPr>
      </w:pPr>
      <w:r>
        <w:rPr>
          <w:bCs/>
        </w:rPr>
        <w:t>тыс. рублей</w:t>
      </w:r>
    </w:p>
    <w:tbl>
      <w:tblPr>
        <w:tblStyle w:val="3"/>
        <w:tblW w:w="949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559"/>
        <w:gridCol w:w="1559"/>
        <w:gridCol w:w="1418"/>
        <w:gridCol w:w="1275"/>
      </w:tblGrid>
      <w:tr w14:paraId="6AE3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blHeader/>
        </w:trPr>
        <w:tc>
          <w:tcPr>
            <w:tcW w:w="3686" w:type="dxa"/>
            <w:noWrap/>
            <w:vAlign w:val="center"/>
          </w:tcPr>
          <w:p w14:paraId="602924DA">
            <w:pPr>
              <w:widowControl/>
              <w:autoSpaceDE/>
              <w:autoSpaceDN/>
              <w:adjustRightInd/>
              <w:jc w:val="center"/>
              <w:rPr>
                <w:b/>
              </w:rPr>
            </w:pPr>
            <w:r>
              <w:rPr>
                <w:b/>
                <w:color w:val="000000"/>
              </w:rPr>
              <w:t>Показатели</w:t>
            </w:r>
          </w:p>
        </w:tc>
        <w:tc>
          <w:tcPr>
            <w:tcW w:w="1559" w:type="dxa"/>
            <w:noWrap/>
            <w:vAlign w:val="center"/>
          </w:tcPr>
          <w:p w14:paraId="2577A939">
            <w:pPr>
              <w:widowControl/>
              <w:autoSpaceDE/>
              <w:autoSpaceDN/>
              <w:adjustRightInd/>
              <w:jc w:val="center"/>
              <w:rPr>
                <w:b/>
              </w:rPr>
            </w:pPr>
            <w:r>
              <w:rPr>
                <w:b/>
              </w:rPr>
              <w:t>Ожидаемое исполнение 2025 года</w:t>
            </w:r>
          </w:p>
        </w:tc>
        <w:tc>
          <w:tcPr>
            <w:tcW w:w="1559" w:type="dxa"/>
            <w:noWrap/>
            <w:vAlign w:val="center"/>
          </w:tcPr>
          <w:p w14:paraId="7AA3A401">
            <w:pPr>
              <w:widowControl/>
              <w:autoSpaceDE/>
              <w:autoSpaceDN/>
              <w:adjustRightInd/>
              <w:jc w:val="center"/>
              <w:rPr>
                <w:b/>
              </w:rPr>
            </w:pPr>
            <w:r>
              <w:rPr>
                <w:b/>
              </w:rPr>
              <w:t>2026 год</w:t>
            </w:r>
          </w:p>
        </w:tc>
        <w:tc>
          <w:tcPr>
            <w:tcW w:w="1418" w:type="dxa"/>
            <w:noWrap/>
            <w:vAlign w:val="center"/>
          </w:tcPr>
          <w:p w14:paraId="72D7B252">
            <w:pPr>
              <w:widowControl/>
              <w:autoSpaceDE/>
              <w:autoSpaceDN/>
              <w:adjustRightInd/>
              <w:jc w:val="center"/>
              <w:rPr>
                <w:b/>
              </w:rPr>
            </w:pPr>
            <w:r>
              <w:rPr>
                <w:b/>
              </w:rPr>
              <w:t>2027 год</w:t>
            </w:r>
          </w:p>
        </w:tc>
        <w:tc>
          <w:tcPr>
            <w:tcW w:w="1275" w:type="dxa"/>
            <w:noWrap/>
            <w:vAlign w:val="center"/>
          </w:tcPr>
          <w:p w14:paraId="57E0ECA6">
            <w:pPr>
              <w:widowControl/>
              <w:autoSpaceDE/>
              <w:autoSpaceDN/>
              <w:adjustRightInd/>
              <w:jc w:val="center"/>
              <w:rPr>
                <w:b/>
              </w:rPr>
            </w:pPr>
            <w:r>
              <w:rPr>
                <w:b/>
              </w:rPr>
              <w:t>2028 год</w:t>
            </w:r>
          </w:p>
        </w:tc>
      </w:tr>
      <w:tr w14:paraId="4350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6" w:type="dxa"/>
            <w:noWrap/>
          </w:tcPr>
          <w:p w14:paraId="3326FBE4">
            <w:pPr>
              <w:widowControl/>
              <w:autoSpaceDE/>
              <w:autoSpaceDN/>
              <w:adjustRightInd/>
              <w:rPr>
                <w:color w:val="000000"/>
              </w:rPr>
            </w:pPr>
            <w:r>
              <w:rPr>
                <w:color w:val="000000"/>
              </w:rPr>
              <w:t>Безвозмездные поступления</w:t>
            </w:r>
          </w:p>
        </w:tc>
        <w:tc>
          <w:tcPr>
            <w:tcW w:w="1559" w:type="dxa"/>
            <w:noWrap/>
            <w:vAlign w:val="center"/>
          </w:tcPr>
          <w:p w14:paraId="799A2594">
            <w:pPr>
              <w:widowControl/>
              <w:autoSpaceDE/>
              <w:autoSpaceDN/>
              <w:adjustRightInd/>
              <w:jc w:val="center"/>
              <w:rPr>
                <w:color w:val="000000"/>
              </w:rPr>
            </w:pPr>
            <w:r>
              <w:rPr>
                <w:color w:val="000000"/>
              </w:rPr>
              <w:t>1 195414,7</w:t>
            </w:r>
          </w:p>
        </w:tc>
        <w:tc>
          <w:tcPr>
            <w:tcW w:w="1559" w:type="dxa"/>
            <w:noWrap/>
            <w:vAlign w:val="center"/>
          </w:tcPr>
          <w:p w14:paraId="29A0911C">
            <w:pPr>
              <w:widowControl/>
              <w:autoSpaceDE/>
              <w:autoSpaceDN/>
              <w:adjustRightInd/>
              <w:jc w:val="center"/>
              <w:rPr>
                <w:color w:val="000000"/>
                <w:highlight w:val="yellow"/>
              </w:rPr>
            </w:pPr>
            <w:r>
              <w:rPr>
                <w:color w:val="000000"/>
              </w:rPr>
              <w:t>845 869,8</w:t>
            </w:r>
          </w:p>
        </w:tc>
        <w:tc>
          <w:tcPr>
            <w:tcW w:w="1418" w:type="dxa"/>
            <w:noWrap/>
            <w:vAlign w:val="center"/>
          </w:tcPr>
          <w:p w14:paraId="0FEB99D8">
            <w:pPr>
              <w:widowControl/>
              <w:autoSpaceDE/>
              <w:autoSpaceDN/>
              <w:adjustRightInd/>
              <w:jc w:val="center"/>
            </w:pPr>
            <w:r>
              <w:t>722 610,1</w:t>
            </w:r>
          </w:p>
        </w:tc>
        <w:tc>
          <w:tcPr>
            <w:tcW w:w="1275" w:type="dxa"/>
            <w:noWrap/>
            <w:vAlign w:val="center"/>
          </w:tcPr>
          <w:p w14:paraId="5C79AF8F">
            <w:pPr>
              <w:widowControl/>
              <w:autoSpaceDE/>
              <w:autoSpaceDN/>
              <w:adjustRightInd/>
              <w:jc w:val="center"/>
            </w:pPr>
            <w:r>
              <w:t>682 702,7</w:t>
            </w:r>
          </w:p>
        </w:tc>
      </w:tr>
      <w:tr w14:paraId="6D7A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6" w:type="dxa"/>
            <w:noWrap/>
          </w:tcPr>
          <w:p w14:paraId="13C8DC50">
            <w:pPr>
              <w:widowControl/>
              <w:autoSpaceDE/>
              <w:autoSpaceDN/>
              <w:adjustRightInd/>
            </w:pPr>
            <w:r>
              <w:t>Дотации бюджетам бюджетной системы РФ</w:t>
            </w:r>
          </w:p>
        </w:tc>
        <w:tc>
          <w:tcPr>
            <w:tcW w:w="1559" w:type="dxa"/>
            <w:noWrap/>
            <w:vAlign w:val="center"/>
          </w:tcPr>
          <w:p w14:paraId="1BB895A6">
            <w:pPr>
              <w:widowControl/>
              <w:autoSpaceDE/>
              <w:autoSpaceDN/>
              <w:adjustRightInd/>
              <w:jc w:val="center"/>
              <w:rPr>
                <w:color w:val="000000"/>
              </w:rPr>
            </w:pPr>
            <w:r>
              <w:rPr>
                <w:color w:val="000000"/>
              </w:rPr>
              <w:t>378 848,3</w:t>
            </w:r>
          </w:p>
        </w:tc>
        <w:tc>
          <w:tcPr>
            <w:tcW w:w="1559" w:type="dxa"/>
            <w:noWrap/>
            <w:vAlign w:val="center"/>
          </w:tcPr>
          <w:p w14:paraId="1351B7B5">
            <w:pPr>
              <w:widowControl/>
              <w:autoSpaceDE/>
              <w:autoSpaceDN/>
              <w:adjustRightInd/>
              <w:jc w:val="center"/>
              <w:rPr>
                <w:color w:val="000000"/>
              </w:rPr>
            </w:pPr>
            <w:r>
              <w:rPr>
                <w:color w:val="000000"/>
              </w:rPr>
              <w:t>290 941,1</w:t>
            </w:r>
          </w:p>
        </w:tc>
        <w:tc>
          <w:tcPr>
            <w:tcW w:w="1418" w:type="dxa"/>
            <w:noWrap/>
            <w:vAlign w:val="center"/>
          </w:tcPr>
          <w:p w14:paraId="41014949">
            <w:pPr>
              <w:widowControl/>
              <w:autoSpaceDE/>
              <w:autoSpaceDN/>
              <w:adjustRightInd/>
              <w:jc w:val="center"/>
            </w:pPr>
            <w:r>
              <w:t>200 290,0</w:t>
            </w:r>
          </w:p>
        </w:tc>
        <w:tc>
          <w:tcPr>
            <w:tcW w:w="1275" w:type="dxa"/>
            <w:noWrap/>
            <w:vAlign w:val="center"/>
          </w:tcPr>
          <w:p w14:paraId="696547A4">
            <w:pPr>
              <w:widowControl/>
              <w:autoSpaceDE/>
              <w:autoSpaceDN/>
              <w:adjustRightInd/>
              <w:jc w:val="center"/>
            </w:pPr>
            <w:r>
              <w:t>212 510,0</w:t>
            </w:r>
          </w:p>
        </w:tc>
      </w:tr>
      <w:tr w14:paraId="633F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6" w:type="dxa"/>
            <w:noWrap/>
          </w:tcPr>
          <w:p w14:paraId="05462D60">
            <w:pPr>
              <w:widowControl/>
              <w:autoSpaceDE/>
              <w:autoSpaceDN/>
              <w:adjustRightInd/>
              <w:rPr>
                <w:i/>
                <w:color w:val="000000"/>
              </w:rPr>
            </w:pPr>
            <w:r>
              <w:rPr>
                <w:bCs/>
                <w:color w:val="000000"/>
              </w:rPr>
              <w:t>Доля</w:t>
            </w:r>
            <w:r>
              <w:rPr>
                <w:bCs/>
                <w:color w:val="000000"/>
                <w:lang w:val="en-US"/>
              </w:rPr>
              <w:t>,</w:t>
            </w:r>
            <w:r>
              <w:rPr>
                <w:bCs/>
                <w:color w:val="000000"/>
              </w:rPr>
              <w:t>%</w:t>
            </w:r>
          </w:p>
        </w:tc>
        <w:tc>
          <w:tcPr>
            <w:tcW w:w="1559" w:type="dxa"/>
            <w:noWrap/>
            <w:vAlign w:val="center"/>
          </w:tcPr>
          <w:p w14:paraId="704763A9">
            <w:pPr>
              <w:widowControl/>
              <w:autoSpaceDE/>
              <w:autoSpaceDN/>
              <w:adjustRightInd/>
              <w:jc w:val="center"/>
              <w:rPr>
                <w:color w:val="000000"/>
                <w:highlight w:val="yellow"/>
              </w:rPr>
            </w:pPr>
            <w:r>
              <w:rPr>
                <w:color w:val="000000"/>
              </w:rPr>
              <w:t>31,7</w:t>
            </w:r>
          </w:p>
        </w:tc>
        <w:tc>
          <w:tcPr>
            <w:tcW w:w="1559" w:type="dxa"/>
            <w:noWrap/>
            <w:vAlign w:val="center"/>
          </w:tcPr>
          <w:p w14:paraId="7DC7358A">
            <w:pPr>
              <w:widowControl/>
              <w:autoSpaceDE/>
              <w:autoSpaceDN/>
              <w:adjustRightInd/>
              <w:jc w:val="center"/>
              <w:rPr>
                <w:color w:val="000000"/>
                <w:highlight w:val="yellow"/>
              </w:rPr>
            </w:pPr>
            <w:r>
              <w:rPr>
                <w:color w:val="000000"/>
              </w:rPr>
              <w:t>34,4</w:t>
            </w:r>
          </w:p>
        </w:tc>
        <w:tc>
          <w:tcPr>
            <w:tcW w:w="1418" w:type="dxa"/>
            <w:noWrap/>
            <w:vAlign w:val="center"/>
          </w:tcPr>
          <w:p w14:paraId="5E5DE5BE">
            <w:pPr>
              <w:widowControl/>
              <w:autoSpaceDE/>
              <w:autoSpaceDN/>
              <w:adjustRightInd/>
              <w:jc w:val="center"/>
            </w:pPr>
            <w:r>
              <w:t>27,7</w:t>
            </w:r>
          </w:p>
        </w:tc>
        <w:tc>
          <w:tcPr>
            <w:tcW w:w="1275" w:type="dxa"/>
            <w:noWrap/>
            <w:vAlign w:val="center"/>
          </w:tcPr>
          <w:p w14:paraId="5343988B">
            <w:pPr>
              <w:widowControl/>
              <w:autoSpaceDE/>
              <w:autoSpaceDN/>
              <w:adjustRightInd/>
              <w:jc w:val="center"/>
            </w:pPr>
            <w:r>
              <w:t>31,1</w:t>
            </w:r>
          </w:p>
        </w:tc>
      </w:tr>
      <w:tr w14:paraId="2313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6" w:type="dxa"/>
            <w:noWrap/>
          </w:tcPr>
          <w:p w14:paraId="24FE6838">
            <w:pPr>
              <w:widowControl/>
              <w:autoSpaceDE/>
              <w:autoSpaceDN/>
              <w:adjustRightInd/>
              <w:rPr>
                <w:color w:val="000000"/>
                <w:highlight w:val="yellow"/>
              </w:rPr>
            </w:pPr>
            <w:r>
              <w:rPr>
                <w:color w:val="000000"/>
              </w:rPr>
              <w:t>Дотации бюджетам субъектов РФ на выравнивание бюджетной обеспеченности</w:t>
            </w:r>
          </w:p>
        </w:tc>
        <w:tc>
          <w:tcPr>
            <w:tcW w:w="1559" w:type="dxa"/>
            <w:noWrap/>
            <w:vAlign w:val="center"/>
          </w:tcPr>
          <w:p w14:paraId="4EF0EEE1">
            <w:pPr>
              <w:widowControl/>
              <w:autoSpaceDE/>
              <w:autoSpaceDN/>
              <w:adjustRightInd/>
              <w:jc w:val="center"/>
              <w:rPr>
                <w:iCs/>
                <w:color w:val="000000"/>
              </w:rPr>
            </w:pPr>
            <w:r>
              <w:rPr>
                <w:iCs/>
                <w:color w:val="000000"/>
              </w:rPr>
              <w:t>250 283,0</w:t>
            </w:r>
          </w:p>
        </w:tc>
        <w:tc>
          <w:tcPr>
            <w:tcW w:w="1559" w:type="dxa"/>
            <w:noWrap/>
            <w:vAlign w:val="center"/>
          </w:tcPr>
          <w:p w14:paraId="0C0912F8">
            <w:pPr>
              <w:jc w:val="center"/>
            </w:pPr>
            <w:r>
              <w:t>274 623,0</w:t>
            </w:r>
          </w:p>
          <w:p w14:paraId="532976C7">
            <w:pPr>
              <w:widowControl/>
              <w:autoSpaceDE/>
              <w:autoSpaceDN/>
              <w:adjustRightInd/>
              <w:jc w:val="center"/>
            </w:pPr>
          </w:p>
        </w:tc>
        <w:tc>
          <w:tcPr>
            <w:tcW w:w="1418" w:type="dxa"/>
            <w:noWrap/>
            <w:vAlign w:val="center"/>
          </w:tcPr>
          <w:p w14:paraId="78BEA374">
            <w:pPr>
              <w:jc w:val="center"/>
            </w:pPr>
            <w:r>
              <w:t>199 834,0</w:t>
            </w:r>
          </w:p>
          <w:p w14:paraId="4491A050">
            <w:pPr>
              <w:widowControl/>
              <w:autoSpaceDE/>
              <w:autoSpaceDN/>
              <w:adjustRightInd/>
              <w:jc w:val="center"/>
            </w:pPr>
          </w:p>
        </w:tc>
        <w:tc>
          <w:tcPr>
            <w:tcW w:w="1275" w:type="dxa"/>
            <w:noWrap/>
            <w:vAlign w:val="center"/>
          </w:tcPr>
          <w:p w14:paraId="21BFEA9E">
            <w:pPr>
              <w:jc w:val="center"/>
            </w:pPr>
            <w:r>
              <w:t>211 598,0</w:t>
            </w:r>
          </w:p>
          <w:p w14:paraId="5A9862CC">
            <w:pPr>
              <w:widowControl/>
              <w:autoSpaceDE/>
              <w:autoSpaceDN/>
              <w:adjustRightInd/>
              <w:jc w:val="center"/>
            </w:pPr>
          </w:p>
        </w:tc>
      </w:tr>
      <w:tr w14:paraId="62D1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6" w:type="dxa"/>
            <w:noWrap/>
          </w:tcPr>
          <w:p w14:paraId="2F5324DC">
            <w:pPr>
              <w:widowControl/>
              <w:autoSpaceDE/>
              <w:autoSpaceDN/>
              <w:adjustRightInd/>
              <w:rPr>
                <w:color w:val="000000"/>
                <w:highlight w:val="yellow"/>
              </w:rPr>
            </w:pPr>
            <w:r>
              <w:rPr>
                <w:color w:val="000000"/>
              </w:rPr>
              <w:t>Дотации бюджетам на поддержку мер по обеспечению сбалансированности бюджетов</w:t>
            </w:r>
          </w:p>
        </w:tc>
        <w:tc>
          <w:tcPr>
            <w:tcW w:w="1559" w:type="dxa"/>
            <w:noWrap/>
            <w:vAlign w:val="center"/>
          </w:tcPr>
          <w:p w14:paraId="23B9D9C6">
            <w:pPr>
              <w:jc w:val="center"/>
            </w:pPr>
            <w:r>
              <w:t>3 186,7</w:t>
            </w:r>
          </w:p>
          <w:p w14:paraId="2BE45035">
            <w:pPr>
              <w:widowControl/>
              <w:autoSpaceDE/>
              <w:autoSpaceDN/>
              <w:adjustRightInd/>
              <w:jc w:val="center"/>
              <w:rPr>
                <w:iCs/>
                <w:color w:val="000000"/>
              </w:rPr>
            </w:pPr>
          </w:p>
        </w:tc>
        <w:tc>
          <w:tcPr>
            <w:tcW w:w="1559" w:type="dxa"/>
            <w:noWrap/>
            <w:vAlign w:val="center"/>
          </w:tcPr>
          <w:p w14:paraId="70E5BB78">
            <w:pPr>
              <w:widowControl/>
              <w:autoSpaceDE/>
              <w:autoSpaceDN/>
              <w:adjustRightInd/>
              <w:jc w:val="center"/>
              <w:rPr>
                <w:iCs/>
                <w:color w:val="000000"/>
                <w:highlight w:val="yellow"/>
              </w:rPr>
            </w:pPr>
            <w:r>
              <w:rPr>
                <w:iCs/>
                <w:color w:val="000000"/>
              </w:rPr>
              <w:t>0</w:t>
            </w:r>
          </w:p>
        </w:tc>
        <w:tc>
          <w:tcPr>
            <w:tcW w:w="1418" w:type="dxa"/>
            <w:noWrap/>
            <w:vAlign w:val="center"/>
          </w:tcPr>
          <w:p w14:paraId="3855EFF8">
            <w:pPr>
              <w:widowControl/>
              <w:autoSpaceDE/>
              <w:autoSpaceDN/>
              <w:adjustRightInd/>
              <w:jc w:val="center"/>
              <w:rPr>
                <w:iCs/>
                <w:lang w:val="en-US"/>
              </w:rPr>
            </w:pPr>
            <w:r>
              <w:rPr>
                <w:iCs/>
                <w:lang w:val="en-US"/>
              </w:rPr>
              <w:t>0</w:t>
            </w:r>
          </w:p>
        </w:tc>
        <w:tc>
          <w:tcPr>
            <w:tcW w:w="1275" w:type="dxa"/>
            <w:noWrap/>
            <w:vAlign w:val="center"/>
          </w:tcPr>
          <w:p w14:paraId="53E3BCDB">
            <w:pPr>
              <w:widowControl/>
              <w:autoSpaceDE/>
              <w:autoSpaceDN/>
              <w:adjustRightInd/>
              <w:jc w:val="center"/>
              <w:rPr>
                <w:iCs/>
                <w:lang w:val="en-US"/>
              </w:rPr>
            </w:pPr>
            <w:r>
              <w:rPr>
                <w:iCs/>
                <w:lang w:val="en-US"/>
              </w:rPr>
              <w:t>0</w:t>
            </w:r>
          </w:p>
        </w:tc>
      </w:tr>
      <w:tr w14:paraId="797D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6" w:type="dxa"/>
            <w:noWrap/>
          </w:tcPr>
          <w:p w14:paraId="08FFCF94">
            <w:pPr>
              <w:widowControl/>
              <w:autoSpaceDE/>
              <w:autoSpaceDN/>
              <w:adjustRightInd/>
              <w:rPr>
                <w:color w:val="000000"/>
              </w:rPr>
            </w:pPr>
            <w:r>
              <w:rPr>
                <w:color w:val="000000"/>
              </w:rPr>
              <w:t>Прочие дотации бюджетам муниципальных районов</w:t>
            </w:r>
          </w:p>
        </w:tc>
        <w:tc>
          <w:tcPr>
            <w:tcW w:w="1559" w:type="dxa"/>
            <w:noWrap/>
            <w:vAlign w:val="center"/>
          </w:tcPr>
          <w:p w14:paraId="58CB1FB4">
            <w:pPr>
              <w:jc w:val="center"/>
            </w:pPr>
            <w:r>
              <w:t>61 848,3</w:t>
            </w:r>
          </w:p>
          <w:p w14:paraId="038C2C6A">
            <w:pPr>
              <w:widowControl/>
              <w:autoSpaceDE/>
              <w:autoSpaceDN/>
              <w:adjustRightInd/>
              <w:jc w:val="center"/>
              <w:rPr>
                <w:iCs/>
                <w:color w:val="000000"/>
              </w:rPr>
            </w:pPr>
          </w:p>
        </w:tc>
        <w:tc>
          <w:tcPr>
            <w:tcW w:w="1559" w:type="dxa"/>
            <w:noWrap/>
            <w:vAlign w:val="center"/>
          </w:tcPr>
          <w:p w14:paraId="339080D3">
            <w:pPr>
              <w:widowControl/>
              <w:autoSpaceDE/>
              <w:autoSpaceDN/>
              <w:adjustRightInd/>
              <w:jc w:val="center"/>
              <w:rPr>
                <w:iCs/>
                <w:color w:val="000000"/>
                <w:highlight w:val="yellow"/>
              </w:rPr>
            </w:pPr>
            <w:r>
              <w:rPr>
                <w:iCs/>
                <w:color w:val="000000"/>
              </w:rPr>
              <w:t>912,0</w:t>
            </w:r>
          </w:p>
        </w:tc>
        <w:tc>
          <w:tcPr>
            <w:tcW w:w="1418" w:type="dxa"/>
            <w:noWrap/>
            <w:vAlign w:val="center"/>
          </w:tcPr>
          <w:p w14:paraId="49AAFFD6">
            <w:pPr>
              <w:widowControl/>
              <w:autoSpaceDE/>
              <w:autoSpaceDN/>
              <w:adjustRightInd/>
              <w:jc w:val="center"/>
              <w:rPr>
                <w:iCs/>
              </w:rPr>
            </w:pPr>
            <w:r>
              <w:rPr>
                <w:iCs/>
              </w:rPr>
              <w:t>456,0</w:t>
            </w:r>
          </w:p>
        </w:tc>
        <w:tc>
          <w:tcPr>
            <w:tcW w:w="1275" w:type="dxa"/>
            <w:noWrap/>
            <w:vAlign w:val="center"/>
          </w:tcPr>
          <w:p w14:paraId="40257EC6">
            <w:pPr>
              <w:widowControl/>
              <w:autoSpaceDE/>
              <w:autoSpaceDN/>
              <w:adjustRightInd/>
              <w:jc w:val="center"/>
              <w:rPr>
                <w:iCs/>
              </w:rPr>
            </w:pPr>
            <w:r>
              <w:rPr>
                <w:iCs/>
              </w:rPr>
              <w:t>912,0</w:t>
            </w:r>
          </w:p>
        </w:tc>
      </w:tr>
      <w:tr w14:paraId="7244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6" w:type="dxa"/>
            <w:noWrap/>
          </w:tcPr>
          <w:p w14:paraId="53B739EE">
            <w:pPr>
              <w:widowControl/>
              <w:rPr>
                <w:iCs/>
                <w:highlight w:val="yellow"/>
              </w:rPr>
            </w:pPr>
            <w:r>
              <w:rPr>
                <w:iCs/>
              </w:rPr>
              <w:t>Дотации (гранты) бюджетам субъектов РФ за достижение показателей деятельности органов исполнительной власти субъектов РФ</w:t>
            </w:r>
          </w:p>
        </w:tc>
        <w:tc>
          <w:tcPr>
            <w:tcW w:w="1559" w:type="dxa"/>
            <w:noWrap/>
            <w:vAlign w:val="center"/>
          </w:tcPr>
          <w:p w14:paraId="373651E1">
            <w:pPr>
              <w:jc w:val="center"/>
            </w:pPr>
            <w:r>
              <w:t>2 505,4</w:t>
            </w:r>
          </w:p>
          <w:p w14:paraId="39EFE63A">
            <w:pPr>
              <w:widowControl/>
              <w:autoSpaceDE/>
              <w:autoSpaceDN/>
              <w:adjustRightInd/>
              <w:jc w:val="center"/>
              <w:rPr>
                <w:iCs/>
                <w:color w:val="000000"/>
              </w:rPr>
            </w:pPr>
          </w:p>
        </w:tc>
        <w:tc>
          <w:tcPr>
            <w:tcW w:w="1559" w:type="dxa"/>
            <w:noWrap/>
            <w:vAlign w:val="center"/>
          </w:tcPr>
          <w:p w14:paraId="43600F78">
            <w:pPr>
              <w:widowControl/>
              <w:autoSpaceDE/>
              <w:autoSpaceDN/>
              <w:adjustRightInd/>
              <w:jc w:val="center"/>
              <w:rPr>
                <w:iCs/>
                <w:color w:val="000000"/>
              </w:rPr>
            </w:pPr>
            <w:r>
              <w:rPr>
                <w:iCs/>
                <w:color w:val="000000"/>
              </w:rPr>
              <w:t>0</w:t>
            </w:r>
          </w:p>
        </w:tc>
        <w:tc>
          <w:tcPr>
            <w:tcW w:w="1418" w:type="dxa"/>
            <w:noWrap/>
            <w:vAlign w:val="center"/>
          </w:tcPr>
          <w:p w14:paraId="573E449C">
            <w:pPr>
              <w:widowControl/>
              <w:autoSpaceDE/>
              <w:autoSpaceDN/>
              <w:adjustRightInd/>
              <w:jc w:val="center"/>
              <w:rPr>
                <w:iCs/>
                <w:lang w:val="en-US"/>
              </w:rPr>
            </w:pPr>
            <w:r>
              <w:rPr>
                <w:iCs/>
                <w:lang w:val="en-US"/>
              </w:rPr>
              <w:t>0</w:t>
            </w:r>
          </w:p>
        </w:tc>
        <w:tc>
          <w:tcPr>
            <w:tcW w:w="1275" w:type="dxa"/>
            <w:noWrap/>
            <w:vAlign w:val="center"/>
          </w:tcPr>
          <w:p w14:paraId="0ADB0298">
            <w:pPr>
              <w:widowControl/>
              <w:autoSpaceDE/>
              <w:autoSpaceDN/>
              <w:adjustRightInd/>
              <w:jc w:val="center"/>
              <w:rPr>
                <w:iCs/>
                <w:lang w:val="en-US"/>
              </w:rPr>
            </w:pPr>
            <w:r>
              <w:rPr>
                <w:iCs/>
                <w:lang w:val="en-US"/>
              </w:rPr>
              <w:t>0</w:t>
            </w:r>
          </w:p>
          <w:p w14:paraId="0EFF469B">
            <w:pPr>
              <w:widowControl/>
              <w:autoSpaceDE/>
              <w:autoSpaceDN/>
              <w:adjustRightInd/>
              <w:jc w:val="center"/>
              <w:rPr>
                <w:iCs/>
                <w:lang w:val="en-US"/>
              </w:rPr>
            </w:pPr>
          </w:p>
        </w:tc>
      </w:tr>
      <w:tr w14:paraId="44C4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6" w:type="dxa"/>
            <w:noWrap/>
          </w:tcPr>
          <w:p w14:paraId="44A73280">
            <w:pPr>
              <w:widowControl/>
              <w:autoSpaceDE/>
              <w:autoSpaceDN/>
              <w:adjustRightInd/>
            </w:pPr>
            <w:r>
              <w:t>Субсидии бюджетам  бюджетной системы РФ (межбюджетные субсидии)</w:t>
            </w:r>
          </w:p>
        </w:tc>
        <w:tc>
          <w:tcPr>
            <w:tcW w:w="1559" w:type="dxa"/>
            <w:noWrap/>
            <w:vAlign w:val="center"/>
          </w:tcPr>
          <w:p w14:paraId="5D493389">
            <w:pPr>
              <w:widowControl/>
              <w:autoSpaceDE/>
              <w:autoSpaceDN/>
              <w:adjustRightInd/>
              <w:jc w:val="center"/>
              <w:rPr>
                <w:color w:val="000000"/>
              </w:rPr>
            </w:pPr>
            <w:r>
              <w:rPr>
                <w:color w:val="000000"/>
              </w:rPr>
              <w:t>157 120,2</w:t>
            </w:r>
          </w:p>
        </w:tc>
        <w:tc>
          <w:tcPr>
            <w:tcW w:w="1559" w:type="dxa"/>
            <w:noWrap/>
            <w:vAlign w:val="center"/>
          </w:tcPr>
          <w:p w14:paraId="5C4B0335">
            <w:pPr>
              <w:widowControl/>
              <w:autoSpaceDE/>
              <w:autoSpaceDN/>
              <w:adjustRightInd/>
              <w:jc w:val="center"/>
              <w:rPr>
                <w:color w:val="000000"/>
              </w:rPr>
            </w:pPr>
            <w:r>
              <w:rPr>
                <w:color w:val="000000"/>
              </w:rPr>
              <w:t>29 068,2</w:t>
            </w:r>
          </w:p>
        </w:tc>
        <w:tc>
          <w:tcPr>
            <w:tcW w:w="1418" w:type="dxa"/>
            <w:noWrap/>
            <w:vAlign w:val="center"/>
          </w:tcPr>
          <w:p w14:paraId="44C6EC6F">
            <w:pPr>
              <w:widowControl/>
              <w:autoSpaceDE/>
              <w:autoSpaceDN/>
              <w:adjustRightInd/>
              <w:jc w:val="center"/>
              <w:rPr>
                <w:color w:val="000000"/>
              </w:rPr>
            </w:pPr>
            <w:r>
              <w:rPr>
                <w:color w:val="000000"/>
              </w:rPr>
              <w:t>62 364,5</w:t>
            </w:r>
          </w:p>
        </w:tc>
        <w:tc>
          <w:tcPr>
            <w:tcW w:w="1275" w:type="dxa"/>
            <w:noWrap/>
            <w:vAlign w:val="center"/>
          </w:tcPr>
          <w:p w14:paraId="1E69328C">
            <w:pPr>
              <w:widowControl/>
              <w:autoSpaceDE/>
              <w:autoSpaceDN/>
              <w:adjustRightInd/>
              <w:jc w:val="center"/>
              <w:rPr>
                <w:color w:val="000000"/>
              </w:rPr>
            </w:pPr>
            <w:r>
              <w:rPr>
                <w:color w:val="000000"/>
              </w:rPr>
              <w:t>25 000,0</w:t>
            </w:r>
          </w:p>
        </w:tc>
      </w:tr>
      <w:tr w14:paraId="224F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6" w:type="dxa"/>
            <w:noWrap/>
          </w:tcPr>
          <w:p w14:paraId="4F9DA20D">
            <w:pPr>
              <w:widowControl/>
              <w:autoSpaceDE/>
              <w:autoSpaceDN/>
              <w:adjustRightInd/>
            </w:pPr>
            <w:r>
              <w:rPr>
                <w:bCs/>
                <w:color w:val="000000"/>
              </w:rPr>
              <w:t>Доля</w:t>
            </w:r>
            <w:r>
              <w:rPr>
                <w:bCs/>
                <w:color w:val="000000"/>
                <w:lang w:val="en-US"/>
              </w:rPr>
              <w:t>,</w:t>
            </w:r>
            <w:r>
              <w:rPr>
                <w:bCs/>
                <w:color w:val="000000"/>
              </w:rPr>
              <w:t>%</w:t>
            </w:r>
          </w:p>
        </w:tc>
        <w:tc>
          <w:tcPr>
            <w:tcW w:w="1559" w:type="dxa"/>
            <w:noWrap/>
            <w:vAlign w:val="center"/>
          </w:tcPr>
          <w:p w14:paraId="6D5EA536">
            <w:pPr>
              <w:widowControl/>
              <w:autoSpaceDE/>
              <w:autoSpaceDN/>
              <w:adjustRightInd/>
              <w:jc w:val="center"/>
              <w:rPr>
                <w:color w:val="000000"/>
              </w:rPr>
            </w:pPr>
            <w:r>
              <w:rPr>
                <w:color w:val="000000"/>
              </w:rPr>
              <w:t>13,1</w:t>
            </w:r>
          </w:p>
        </w:tc>
        <w:tc>
          <w:tcPr>
            <w:tcW w:w="1559" w:type="dxa"/>
            <w:noWrap/>
            <w:vAlign w:val="center"/>
          </w:tcPr>
          <w:p w14:paraId="62F4F64F">
            <w:pPr>
              <w:widowControl/>
              <w:autoSpaceDE/>
              <w:autoSpaceDN/>
              <w:adjustRightInd/>
              <w:jc w:val="center"/>
              <w:rPr>
                <w:color w:val="000000"/>
              </w:rPr>
            </w:pPr>
            <w:r>
              <w:rPr>
                <w:color w:val="000000"/>
              </w:rPr>
              <w:t>3,4</w:t>
            </w:r>
          </w:p>
        </w:tc>
        <w:tc>
          <w:tcPr>
            <w:tcW w:w="1418" w:type="dxa"/>
            <w:noWrap/>
            <w:vAlign w:val="center"/>
          </w:tcPr>
          <w:p w14:paraId="6A9A31E7">
            <w:pPr>
              <w:widowControl/>
              <w:autoSpaceDE/>
              <w:autoSpaceDN/>
              <w:adjustRightInd/>
              <w:jc w:val="center"/>
              <w:rPr>
                <w:color w:val="000000"/>
              </w:rPr>
            </w:pPr>
            <w:r>
              <w:rPr>
                <w:color w:val="000000"/>
              </w:rPr>
              <w:t>8,6</w:t>
            </w:r>
          </w:p>
        </w:tc>
        <w:tc>
          <w:tcPr>
            <w:tcW w:w="1275" w:type="dxa"/>
            <w:noWrap/>
            <w:vAlign w:val="center"/>
          </w:tcPr>
          <w:p w14:paraId="387958C3">
            <w:pPr>
              <w:widowControl/>
              <w:autoSpaceDE/>
              <w:autoSpaceDN/>
              <w:adjustRightInd/>
              <w:jc w:val="center"/>
              <w:rPr>
                <w:color w:val="000000"/>
              </w:rPr>
            </w:pPr>
            <w:r>
              <w:rPr>
                <w:color w:val="000000"/>
              </w:rPr>
              <w:t>3,7</w:t>
            </w:r>
          </w:p>
        </w:tc>
      </w:tr>
      <w:tr w14:paraId="2474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6" w:type="dxa"/>
            <w:noWrap/>
          </w:tcPr>
          <w:p w14:paraId="4EFD3400">
            <w:pPr>
              <w:widowControl/>
              <w:autoSpaceDE/>
              <w:autoSpaceDN/>
              <w:adjustRightInd/>
            </w:pPr>
            <w:r>
              <w:t>Субвенции бюджетам бюджетной системы РФ субъектов РФ</w:t>
            </w:r>
          </w:p>
        </w:tc>
        <w:tc>
          <w:tcPr>
            <w:tcW w:w="1559" w:type="dxa"/>
            <w:noWrap/>
            <w:vAlign w:val="center"/>
          </w:tcPr>
          <w:p w14:paraId="62C0C987">
            <w:pPr>
              <w:widowControl/>
              <w:autoSpaceDE/>
              <w:autoSpaceDN/>
              <w:adjustRightInd/>
              <w:jc w:val="center"/>
              <w:rPr>
                <w:color w:val="000000"/>
              </w:rPr>
            </w:pPr>
            <w:r>
              <w:rPr>
                <w:color w:val="000000"/>
              </w:rPr>
              <w:t>536 737,3</w:t>
            </w:r>
          </w:p>
        </w:tc>
        <w:tc>
          <w:tcPr>
            <w:tcW w:w="1559" w:type="dxa"/>
            <w:noWrap/>
            <w:vAlign w:val="center"/>
          </w:tcPr>
          <w:p w14:paraId="19001E9B">
            <w:pPr>
              <w:widowControl/>
              <w:autoSpaceDE/>
              <w:autoSpaceDN/>
              <w:adjustRightInd/>
              <w:jc w:val="center"/>
              <w:rPr>
                <w:color w:val="000000"/>
                <w:highlight w:val="yellow"/>
              </w:rPr>
            </w:pPr>
            <w:r>
              <w:rPr>
                <w:color w:val="000000"/>
              </w:rPr>
              <w:t>466 223,7</w:t>
            </w:r>
          </w:p>
        </w:tc>
        <w:tc>
          <w:tcPr>
            <w:tcW w:w="1418" w:type="dxa"/>
            <w:noWrap/>
            <w:vAlign w:val="center"/>
          </w:tcPr>
          <w:p w14:paraId="34A2DCA0">
            <w:pPr>
              <w:widowControl/>
              <w:autoSpaceDE/>
              <w:autoSpaceDN/>
              <w:adjustRightInd/>
              <w:jc w:val="center"/>
              <w:rPr>
                <w:color w:val="000000"/>
              </w:rPr>
            </w:pPr>
            <w:r>
              <w:rPr>
                <w:color w:val="000000"/>
              </w:rPr>
              <w:t>440 827,2</w:t>
            </w:r>
          </w:p>
        </w:tc>
        <w:tc>
          <w:tcPr>
            <w:tcW w:w="1275" w:type="dxa"/>
            <w:noWrap/>
            <w:vAlign w:val="center"/>
          </w:tcPr>
          <w:p w14:paraId="66F6C86E">
            <w:pPr>
              <w:widowControl/>
              <w:autoSpaceDE/>
              <w:autoSpaceDN/>
              <w:adjustRightInd/>
              <w:jc w:val="center"/>
              <w:rPr>
                <w:color w:val="000000"/>
              </w:rPr>
            </w:pPr>
            <w:r>
              <w:rPr>
                <w:color w:val="000000"/>
              </w:rPr>
              <w:t>426 679,7</w:t>
            </w:r>
          </w:p>
        </w:tc>
      </w:tr>
      <w:tr w14:paraId="1DD6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6" w:type="dxa"/>
            <w:noWrap/>
          </w:tcPr>
          <w:p w14:paraId="12A85E75">
            <w:pPr>
              <w:widowControl/>
              <w:autoSpaceDE/>
              <w:autoSpaceDN/>
              <w:adjustRightInd/>
            </w:pPr>
            <w:r>
              <w:rPr>
                <w:bCs/>
                <w:color w:val="000000"/>
              </w:rPr>
              <w:t>Доля</w:t>
            </w:r>
            <w:r>
              <w:rPr>
                <w:bCs/>
                <w:color w:val="000000"/>
                <w:lang w:val="en-US"/>
              </w:rPr>
              <w:t>,</w:t>
            </w:r>
            <w:r>
              <w:rPr>
                <w:bCs/>
                <w:color w:val="000000"/>
              </w:rPr>
              <w:t>%</w:t>
            </w:r>
          </w:p>
        </w:tc>
        <w:tc>
          <w:tcPr>
            <w:tcW w:w="1559" w:type="dxa"/>
            <w:noWrap/>
            <w:vAlign w:val="center"/>
          </w:tcPr>
          <w:p w14:paraId="603C5A56">
            <w:pPr>
              <w:widowControl/>
              <w:autoSpaceDE/>
              <w:autoSpaceDN/>
              <w:adjustRightInd/>
              <w:jc w:val="center"/>
              <w:rPr>
                <w:color w:val="000000"/>
              </w:rPr>
            </w:pPr>
            <w:r>
              <w:rPr>
                <w:color w:val="000000"/>
              </w:rPr>
              <w:t>44,9</w:t>
            </w:r>
          </w:p>
        </w:tc>
        <w:tc>
          <w:tcPr>
            <w:tcW w:w="1559" w:type="dxa"/>
            <w:noWrap/>
            <w:vAlign w:val="center"/>
          </w:tcPr>
          <w:p w14:paraId="0662790D">
            <w:pPr>
              <w:widowControl/>
              <w:autoSpaceDE/>
              <w:autoSpaceDN/>
              <w:adjustRightInd/>
              <w:jc w:val="center"/>
              <w:rPr>
                <w:color w:val="000000"/>
              </w:rPr>
            </w:pPr>
            <w:r>
              <w:rPr>
                <w:color w:val="000000"/>
              </w:rPr>
              <w:t>55,1</w:t>
            </w:r>
          </w:p>
        </w:tc>
        <w:tc>
          <w:tcPr>
            <w:tcW w:w="1418" w:type="dxa"/>
            <w:noWrap/>
            <w:vAlign w:val="center"/>
          </w:tcPr>
          <w:p w14:paraId="0ACA991B">
            <w:pPr>
              <w:widowControl/>
              <w:autoSpaceDE/>
              <w:autoSpaceDN/>
              <w:adjustRightInd/>
              <w:jc w:val="center"/>
              <w:rPr>
                <w:color w:val="000000"/>
              </w:rPr>
            </w:pPr>
            <w:r>
              <w:rPr>
                <w:color w:val="000000"/>
              </w:rPr>
              <w:t>61,0</w:t>
            </w:r>
          </w:p>
        </w:tc>
        <w:tc>
          <w:tcPr>
            <w:tcW w:w="1275" w:type="dxa"/>
            <w:noWrap/>
            <w:vAlign w:val="center"/>
          </w:tcPr>
          <w:p w14:paraId="196048D3">
            <w:pPr>
              <w:widowControl/>
              <w:autoSpaceDE/>
              <w:autoSpaceDN/>
              <w:adjustRightInd/>
              <w:jc w:val="center"/>
              <w:rPr>
                <w:color w:val="000000"/>
              </w:rPr>
            </w:pPr>
            <w:r>
              <w:rPr>
                <w:color w:val="000000"/>
              </w:rPr>
              <w:t>62,5</w:t>
            </w:r>
          </w:p>
        </w:tc>
      </w:tr>
      <w:tr w14:paraId="256D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6" w:type="dxa"/>
            <w:noWrap/>
          </w:tcPr>
          <w:p w14:paraId="481255EB">
            <w:pPr>
              <w:widowControl/>
              <w:autoSpaceDE/>
              <w:autoSpaceDN/>
              <w:adjustRightInd/>
            </w:pPr>
            <w:r>
              <w:rPr>
                <w:color w:val="000000"/>
              </w:rPr>
              <w:t>Иные межбюджетные трансферты</w:t>
            </w:r>
          </w:p>
        </w:tc>
        <w:tc>
          <w:tcPr>
            <w:tcW w:w="1559" w:type="dxa"/>
            <w:noWrap/>
            <w:vAlign w:val="center"/>
          </w:tcPr>
          <w:p w14:paraId="0276FA02">
            <w:pPr>
              <w:widowControl/>
              <w:autoSpaceDE/>
              <w:autoSpaceDN/>
              <w:adjustRightInd/>
              <w:jc w:val="center"/>
              <w:rPr>
                <w:color w:val="000000"/>
              </w:rPr>
            </w:pPr>
            <w:r>
              <w:rPr>
                <w:color w:val="000000"/>
              </w:rPr>
              <w:t>122 708,9</w:t>
            </w:r>
          </w:p>
        </w:tc>
        <w:tc>
          <w:tcPr>
            <w:tcW w:w="1559" w:type="dxa"/>
            <w:noWrap/>
            <w:vAlign w:val="center"/>
          </w:tcPr>
          <w:p w14:paraId="2961C5D7">
            <w:pPr>
              <w:widowControl/>
              <w:autoSpaceDE/>
              <w:autoSpaceDN/>
              <w:adjustRightInd/>
              <w:jc w:val="center"/>
              <w:rPr>
                <w:color w:val="000000"/>
              </w:rPr>
            </w:pPr>
            <w:r>
              <w:rPr>
                <w:color w:val="000000"/>
              </w:rPr>
              <w:t>59 636,8</w:t>
            </w:r>
          </w:p>
        </w:tc>
        <w:tc>
          <w:tcPr>
            <w:tcW w:w="1418" w:type="dxa"/>
            <w:noWrap/>
            <w:vAlign w:val="center"/>
          </w:tcPr>
          <w:p w14:paraId="26EF9BE8">
            <w:pPr>
              <w:widowControl/>
              <w:autoSpaceDE/>
              <w:autoSpaceDN/>
              <w:adjustRightInd/>
              <w:jc w:val="center"/>
              <w:rPr>
                <w:color w:val="000000"/>
              </w:rPr>
            </w:pPr>
            <w:r>
              <w:rPr>
                <w:color w:val="000000"/>
              </w:rPr>
              <w:t>19 128,4</w:t>
            </w:r>
          </w:p>
        </w:tc>
        <w:tc>
          <w:tcPr>
            <w:tcW w:w="1275" w:type="dxa"/>
            <w:noWrap/>
            <w:vAlign w:val="center"/>
          </w:tcPr>
          <w:p w14:paraId="513CD2BF">
            <w:pPr>
              <w:widowControl/>
              <w:autoSpaceDE/>
              <w:autoSpaceDN/>
              <w:adjustRightInd/>
              <w:jc w:val="center"/>
              <w:rPr>
                <w:color w:val="000000"/>
              </w:rPr>
            </w:pPr>
            <w:r>
              <w:rPr>
                <w:color w:val="000000"/>
              </w:rPr>
              <w:t>18 513,0</w:t>
            </w:r>
          </w:p>
        </w:tc>
      </w:tr>
      <w:tr w14:paraId="2214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6" w:type="dxa"/>
            <w:noWrap/>
          </w:tcPr>
          <w:p w14:paraId="7E0A03B2">
            <w:pPr>
              <w:widowControl/>
              <w:autoSpaceDE/>
              <w:autoSpaceDN/>
              <w:adjustRightInd/>
              <w:rPr>
                <w:color w:val="000000"/>
              </w:rPr>
            </w:pPr>
            <w:r>
              <w:rPr>
                <w:bCs/>
                <w:color w:val="000000"/>
              </w:rPr>
              <w:t>Доля</w:t>
            </w:r>
            <w:r>
              <w:rPr>
                <w:bCs/>
                <w:color w:val="000000"/>
                <w:lang w:val="en-US"/>
              </w:rPr>
              <w:t>,</w:t>
            </w:r>
            <w:r>
              <w:rPr>
                <w:bCs/>
                <w:color w:val="000000"/>
              </w:rPr>
              <w:t>%</w:t>
            </w:r>
          </w:p>
        </w:tc>
        <w:tc>
          <w:tcPr>
            <w:tcW w:w="1559" w:type="dxa"/>
            <w:noWrap/>
            <w:vAlign w:val="center"/>
          </w:tcPr>
          <w:p w14:paraId="613CCDD5">
            <w:pPr>
              <w:widowControl/>
              <w:autoSpaceDE/>
              <w:autoSpaceDN/>
              <w:adjustRightInd/>
              <w:jc w:val="center"/>
              <w:rPr>
                <w:color w:val="000000"/>
              </w:rPr>
            </w:pPr>
            <w:r>
              <w:rPr>
                <w:color w:val="000000"/>
              </w:rPr>
              <w:t>10,3</w:t>
            </w:r>
          </w:p>
        </w:tc>
        <w:tc>
          <w:tcPr>
            <w:tcW w:w="1559" w:type="dxa"/>
            <w:noWrap/>
            <w:vAlign w:val="center"/>
          </w:tcPr>
          <w:p w14:paraId="74B13C1E">
            <w:pPr>
              <w:widowControl/>
              <w:autoSpaceDE/>
              <w:autoSpaceDN/>
              <w:adjustRightInd/>
              <w:jc w:val="center"/>
              <w:rPr>
                <w:color w:val="000000"/>
              </w:rPr>
            </w:pPr>
            <w:r>
              <w:rPr>
                <w:color w:val="000000"/>
              </w:rPr>
              <w:t>7,1</w:t>
            </w:r>
          </w:p>
        </w:tc>
        <w:tc>
          <w:tcPr>
            <w:tcW w:w="1418" w:type="dxa"/>
            <w:noWrap/>
            <w:vAlign w:val="center"/>
          </w:tcPr>
          <w:p w14:paraId="4E5C3FA3">
            <w:pPr>
              <w:widowControl/>
              <w:autoSpaceDE/>
              <w:autoSpaceDN/>
              <w:adjustRightInd/>
              <w:jc w:val="center"/>
              <w:rPr>
                <w:color w:val="000000"/>
              </w:rPr>
            </w:pPr>
            <w:r>
              <w:rPr>
                <w:color w:val="000000"/>
              </w:rPr>
              <w:t>2,7</w:t>
            </w:r>
          </w:p>
        </w:tc>
        <w:tc>
          <w:tcPr>
            <w:tcW w:w="1275" w:type="dxa"/>
            <w:noWrap/>
            <w:vAlign w:val="center"/>
          </w:tcPr>
          <w:p w14:paraId="44022A0E">
            <w:pPr>
              <w:widowControl/>
              <w:autoSpaceDE/>
              <w:autoSpaceDN/>
              <w:adjustRightInd/>
              <w:jc w:val="center"/>
              <w:rPr>
                <w:color w:val="000000"/>
              </w:rPr>
            </w:pPr>
            <w:r>
              <w:rPr>
                <w:color w:val="000000"/>
              </w:rPr>
              <w:t>2,7</w:t>
            </w:r>
          </w:p>
        </w:tc>
      </w:tr>
    </w:tbl>
    <w:p w14:paraId="1DC44621">
      <w:pPr>
        <w:pStyle w:val="8"/>
        <w:shd w:val="clear" w:color="auto" w:fill="auto"/>
        <w:spacing w:before="0" w:after="0" w:line="276" w:lineRule="auto"/>
        <w:ind w:right="20" w:firstLine="426"/>
        <w:jc w:val="both"/>
        <w:rPr>
          <w:rFonts w:ascii="Times New Roman" w:hAnsi="Times New Roman"/>
          <w:sz w:val="24"/>
          <w:szCs w:val="24"/>
        </w:rPr>
      </w:pPr>
      <w:r>
        <w:rPr>
          <w:rFonts w:ascii="Times New Roman" w:hAnsi="Times New Roman"/>
          <w:b/>
          <w:sz w:val="24"/>
          <w:szCs w:val="24"/>
        </w:rPr>
        <w:t>Дотации</w:t>
      </w:r>
      <w:r>
        <w:rPr>
          <w:rFonts w:ascii="Times New Roman" w:hAnsi="Times New Roman"/>
          <w:sz w:val="24"/>
          <w:szCs w:val="24"/>
        </w:rPr>
        <w:t xml:space="preserve">  бюджетам  бюджетной системы РФ муниципальному округу доведена  Министерством финансов Забайкальского края  на 2026 год в сумме 290 941,1тыс. рублей, к ожидаемому уровню исполнения 2025 года уменьшение составило 87 907,2 тыс. рублей или на 23,2 %, при этом дотации бюджетам субъектов РФ на выравнивание бюджетной обеспеченности  увеличены на 24 340,0 тыс. рублей. Как практика показывает, остальные виды дотаций -дотации бюджетам на поддержку мер по обеспечению сбалансированности бюджетов, </w:t>
      </w:r>
      <w:r>
        <w:rPr>
          <w:rFonts w:ascii="Times New Roman" w:hAnsi="Times New Roman"/>
          <w:color w:val="000000"/>
          <w:sz w:val="24"/>
          <w:szCs w:val="24"/>
        </w:rPr>
        <w:t>прочие дотации,</w:t>
      </w:r>
      <w:r>
        <w:rPr>
          <w:rFonts w:ascii="Times New Roman" w:hAnsi="Times New Roman"/>
          <w:iCs/>
          <w:sz w:val="24"/>
          <w:szCs w:val="24"/>
        </w:rPr>
        <w:t xml:space="preserve"> дотации (гранты) бюджетам</w:t>
      </w:r>
      <w:r>
        <w:rPr>
          <w:color w:val="000000"/>
        </w:rPr>
        <w:t xml:space="preserve"> </w:t>
      </w:r>
      <w:r>
        <w:rPr>
          <w:rFonts w:ascii="Times New Roman" w:hAnsi="Times New Roman"/>
          <w:sz w:val="24"/>
          <w:szCs w:val="24"/>
        </w:rPr>
        <w:t>доводятся бюджету муниципальных образований в течение следующего планируемого года.</w:t>
      </w:r>
    </w:p>
    <w:p w14:paraId="0DC32BF8">
      <w:pPr>
        <w:pStyle w:val="8"/>
        <w:shd w:val="clear" w:color="auto" w:fill="auto"/>
        <w:tabs>
          <w:tab w:val="center" w:pos="567"/>
        </w:tabs>
        <w:spacing w:before="0" w:after="0" w:line="276" w:lineRule="auto"/>
        <w:ind w:right="20" w:firstLine="426"/>
        <w:rPr>
          <w:rFonts w:ascii="Times New Roman" w:hAnsi="Times New Roman"/>
          <w:sz w:val="24"/>
          <w:szCs w:val="24"/>
        </w:rPr>
      </w:pPr>
      <w:r>
        <w:rPr>
          <w:rFonts w:ascii="Times New Roman" w:hAnsi="Times New Roman"/>
          <w:sz w:val="24"/>
          <w:szCs w:val="24"/>
        </w:rPr>
        <w:t xml:space="preserve">В общем объеме доходов бюджета на 2026 год дотации бюджетам бюджетной системы составляют </w:t>
      </w:r>
      <w:r>
        <w:rPr>
          <w:rFonts w:hint="default" w:ascii="Times New Roman" w:hAnsi="Times New Roman"/>
          <w:sz w:val="24"/>
          <w:szCs w:val="24"/>
          <w:lang w:val="ru-RU"/>
        </w:rPr>
        <w:t>34,4</w:t>
      </w:r>
      <w:r>
        <w:rPr>
          <w:rFonts w:ascii="Times New Roman" w:hAnsi="Times New Roman"/>
          <w:sz w:val="24"/>
          <w:szCs w:val="24"/>
        </w:rPr>
        <w:t>%.</w:t>
      </w:r>
    </w:p>
    <w:p w14:paraId="137A839E">
      <w:pPr>
        <w:tabs>
          <w:tab w:val="left" w:pos="426"/>
        </w:tabs>
        <w:jc w:val="both"/>
        <w:rPr>
          <w:sz w:val="24"/>
          <w:szCs w:val="24"/>
        </w:rPr>
      </w:pPr>
      <w:r>
        <w:rPr>
          <w:b/>
          <w:sz w:val="24"/>
          <w:szCs w:val="24"/>
        </w:rPr>
        <w:t xml:space="preserve">       Субсидии </w:t>
      </w:r>
      <w:r>
        <w:rPr>
          <w:sz w:val="24"/>
          <w:szCs w:val="24"/>
        </w:rPr>
        <w:t xml:space="preserve"> бюджету муниципального округа на  2026 г. доведены в сумме 29 068,2 тыс. рублей. </w:t>
      </w:r>
    </w:p>
    <w:p w14:paraId="5E17F28E">
      <w:pPr>
        <w:tabs>
          <w:tab w:val="left" w:pos="567"/>
        </w:tabs>
        <w:jc w:val="both"/>
        <w:rPr>
          <w:b/>
          <w:sz w:val="24"/>
          <w:szCs w:val="24"/>
        </w:rPr>
      </w:pPr>
      <w:r>
        <w:rPr>
          <w:sz w:val="24"/>
          <w:szCs w:val="24"/>
        </w:rPr>
        <w:t xml:space="preserve">        Субсидии, запланированные на 2026 год, меньше  ожидаемого уровня 2025 года на  128 052,0 тыс. рублей или на 81,5 % и составляет </w:t>
      </w:r>
      <w:r>
        <w:rPr>
          <w:rFonts w:hint="default"/>
          <w:sz w:val="24"/>
          <w:szCs w:val="24"/>
          <w:lang w:val="ru-RU"/>
        </w:rPr>
        <w:t xml:space="preserve">3,6 </w:t>
      </w:r>
      <w:r>
        <w:rPr>
          <w:sz w:val="24"/>
          <w:szCs w:val="24"/>
        </w:rPr>
        <w:t xml:space="preserve">% в общем объеме доходов бюджета на 2026 год. </w:t>
      </w:r>
    </w:p>
    <w:p w14:paraId="57C1073A">
      <w:pPr>
        <w:tabs>
          <w:tab w:val="left" w:pos="426"/>
        </w:tabs>
        <w:ind w:firstLine="480" w:firstLineChars="200"/>
        <w:jc w:val="both"/>
        <w:rPr>
          <w:sz w:val="24"/>
          <w:szCs w:val="24"/>
        </w:rPr>
      </w:pPr>
      <w:r>
        <w:rPr>
          <w:b/>
          <w:sz w:val="24"/>
          <w:szCs w:val="24"/>
        </w:rPr>
        <w:t xml:space="preserve">Субвенции </w:t>
      </w:r>
      <w:r>
        <w:rPr>
          <w:sz w:val="24"/>
          <w:szCs w:val="24"/>
        </w:rPr>
        <w:t xml:space="preserve"> бюджету муниципального округа на  2026 г. доведены в сумме 466 223,7 тыс. рублей и в том числе включает в себя субвенции бюджетам муниципальных районов на выполнение передаваемых полномочий субъектов Российской Федерации. Субвенции составляют большую долю в общем объеме доходов бюджета муниципального округа </w:t>
      </w:r>
      <w:r>
        <w:rPr>
          <w:rFonts w:hint="default"/>
          <w:sz w:val="24"/>
          <w:szCs w:val="24"/>
          <w:lang w:val="ru-RU"/>
        </w:rPr>
        <w:t>55,1</w:t>
      </w:r>
      <w:r>
        <w:rPr>
          <w:sz w:val="24"/>
          <w:szCs w:val="24"/>
        </w:rPr>
        <w:t xml:space="preserve"> %. В сравнении с ожидаемым уровнем 2025 года уменьшение составило 70 513,6тыс. рублей или на 13,1%.</w:t>
      </w:r>
    </w:p>
    <w:p w14:paraId="233F2D84">
      <w:pPr>
        <w:tabs>
          <w:tab w:val="left" w:pos="400"/>
          <w:tab w:val="left" w:pos="426"/>
        </w:tabs>
        <w:ind w:firstLine="360" w:firstLineChars="150"/>
        <w:jc w:val="both"/>
        <w:rPr>
          <w:sz w:val="24"/>
          <w:szCs w:val="24"/>
        </w:rPr>
      </w:pPr>
      <w:r>
        <w:rPr>
          <w:b/>
          <w:sz w:val="24"/>
          <w:szCs w:val="24"/>
        </w:rPr>
        <w:t xml:space="preserve">Иные межбюджетные трансферты </w:t>
      </w:r>
      <w:r>
        <w:rPr>
          <w:sz w:val="24"/>
          <w:szCs w:val="24"/>
        </w:rPr>
        <w:t>на 2026 год в проекте бюджета муниципального округа предусмотрены в сумме 59 636,8 тыс. рублей. В сравнении с ожидаемым уровнем 2025 года уменьшение составило 63 072,1тыс. рублей или на 51,4 %.</w:t>
      </w:r>
    </w:p>
    <w:p w14:paraId="49C1D494">
      <w:pPr>
        <w:pStyle w:val="25"/>
        <w:keepNext/>
        <w:keepLines/>
        <w:shd w:val="clear" w:color="auto" w:fill="auto"/>
        <w:spacing w:before="0" w:after="0" w:line="240" w:lineRule="auto"/>
        <w:ind w:left="357" w:right="357" w:firstLine="0"/>
        <w:rPr>
          <w:rFonts w:ascii="Times New Roman" w:hAnsi="Times New Roman"/>
          <w:sz w:val="24"/>
          <w:szCs w:val="24"/>
        </w:rPr>
      </w:pPr>
    </w:p>
    <w:p w14:paraId="2C051160">
      <w:pPr>
        <w:pStyle w:val="25"/>
        <w:keepNext/>
        <w:keepLines/>
        <w:shd w:val="clear" w:color="auto" w:fill="auto"/>
        <w:spacing w:before="0" w:after="0" w:line="240" w:lineRule="auto"/>
        <w:ind w:left="357" w:right="357" w:firstLine="0"/>
        <w:rPr>
          <w:rFonts w:ascii="Times New Roman" w:hAnsi="Times New Roman"/>
          <w:sz w:val="24"/>
          <w:szCs w:val="24"/>
          <w:highlight w:val="yellow"/>
        </w:rPr>
      </w:pPr>
      <w:r>
        <w:rPr>
          <w:rFonts w:ascii="Times New Roman" w:hAnsi="Times New Roman"/>
          <w:sz w:val="24"/>
          <w:szCs w:val="24"/>
        </w:rPr>
        <w:t>3.2 Расходная часть бюджета.</w:t>
      </w:r>
    </w:p>
    <w:p w14:paraId="59786105">
      <w:pPr>
        <w:pStyle w:val="8"/>
        <w:shd w:val="clear" w:color="auto" w:fill="auto"/>
        <w:spacing w:before="0" w:after="0" w:line="276" w:lineRule="auto"/>
        <w:ind w:right="20" w:firstLine="567"/>
        <w:jc w:val="both"/>
        <w:rPr>
          <w:rFonts w:ascii="Times New Roman" w:hAnsi="Times New Roman"/>
          <w:sz w:val="24"/>
          <w:szCs w:val="24"/>
        </w:rPr>
      </w:pPr>
    </w:p>
    <w:p w14:paraId="7A2EF227">
      <w:pPr>
        <w:pStyle w:val="8"/>
        <w:shd w:val="clear" w:color="auto" w:fill="auto"/>
        <w:tabs>
          <w:tab w:val="left" w:pos="426"/>
        </w:tabs>
        <w:spacing w:before="0" w:after="0" w:line="276" w:lineRule="auto"/>
        <w:ind w:right="20"/>
        <w:rPr>
          <w:rFonts w:ascii="Times New Roman" w:hAnsi="Times New Roman"/>
          <w:sz w:val="24"/>
          <w:szCs w:val="24"/>
        </w:rPr>
      </w:pPr>
      <w:r>
        <w:rPr>
          <w:rFonts w:ascii="Times New Roman" w:hAnsi="Times New Roman"/>
          <w:sz w:val="24"/>
          <w:szCs w:val="24"/>
        </w:rPr>
        <w:t xml:space="preserve">Расходы бюджета Дульдургинского муниципального округа на 2026 год и плановый период 2027-2028 годы  представлены в приложениях № 5-8 к проекту Решения Совета муниципального округа. </w:t>
      </w:r>
    </w:p>
    <w:p w14:paraId="760CAD3D">
      <w:pPr>
        <w:pStyle w:val="8"/>
        <w:shd w:val="clear" w:color="auto" w:fill="auto"/>
        <w:spacing w:before="0" w:after="0" w:line="276" w:lineRule="auto"/>
        <w:ind w:right="20" w:firstLine="426"/>
        <w:rPr>
          <w:rFonts w:ascii="Times New Roman" w:hAnsi="Times New Roman"/>
          <w:sz w:val="24"/>
          <w:szCs w:val="24"/>
        </w:rPr>
      </w:pPr>
      <w:r>
        <w:rPr>
          <w:rFonts w:ascii="Times New Roman" w:hAnsi="Times New Roman"/>
          <w:sz w:val="24"/>
          <w:szCs w:val="24"/>
        </w:rPr>
        <w:t>Проект бюджета  муниципального района по расходам сформирован в следующих объемах:</w:t>
      </w:r>
    </w:p>
    <w:p w14:paraId="5F5EECBA">
      <w:pPr>
        <w:pStyle w:val="8"/>
        <w:numPr>
          <w:ilvl w:val="0"/>
          <w:numId w:val="5"/>
        </w:numPr>
        <w:shd w:val="clear" w:color="auto" w:fill="auto"/>
        <w:spacing w:before="0" w:after="0" w:line="276" w:lineRule="auto"/>
        <w:ind w:right="20"/>
        <w:rPr>
          <w:rFonts w:ascii="Times New Roman" w:hAnsi="Times New Roman"/>
          <w:sz w:val="24"/>
          <w:szCs w:val="24"/>
        </w:rPr>
      </w:pPr>
      <w:r>
        <w:rPr>
          <w:rFonts w:ascii="Times New Roman" w:hAnsi="Times New Roman"/>
          <w:sz w:val="24"/>
          <w:szCs w:val="24"/>
        </w:rPr>
        <w:t>на 2026 год в сумме 1 12</w:t>
      </w:r>
      <w:r>
        <w:rPr>
          <w:rFonts w:hint="default" w:ascii="Times New Roman" w:hAnsi="Times New Roman"/>
          <w:sz w:val="24"/>
          <w:szCs w:val="24"/>
          <w:lang w:val="ru-RU"/>
        </w:rPr>
        <w:t>8</w:t>
      </w:r>
      <w:r>
        <w:rPr>
          <w:rFonts w:ascii="Times New Roman" w:hAnsi="Times New Roman"/>
          <w:sz w:val="24"/>
          <w:szCs w:val="24"/>
        </w:rPr>
        <w:t xml:space="preserve"> 814,6 тыс. рублей, </w:t>
      </w:r>
    </w:p>
    <w:p w14:paraId="57AC873E">
      <w:pPr>
        <w:pStyle w:val="8"/>
        <w:numPr>
          <w:ilvl w:val="0"/>
          <w:numId w:val="5"/>
        </w:numPr>
        <w:shd w:val="clear" w:color="auto" w:fill="auto"/>
        <w:spacing w:before="0" w:after="0" w:line="276" w:lineRule="auto"/>
        <w:ind w:right="20"/>
        <w:rPr>
          <w:rFonts w:ascii="Times New Roman" w:hAnsi="Times New Roman"/>
          <w:sz w:val="24"/>
          <w:szCs w:val="24"/>
          <w:highlight w:val="yellow"/>
        </w:rPr>
      </w:pPr>
      <w:r>
        <w:rPr>
          <w:rFonts w:ascii="Times New Roman" w:hAnsi="Times New Roman"/>
          <w:sz w:val="24"/>
          <w:szCs w:val="24"/>
        </w:rPr>
        <w:t>на 2027 год в сумме 1 030 668,6 тыс. рублей</w:t>
      </w:r>
    </w:p>
    <w:p w14:paraId="10CD300A">
      <w:pPr>
        <w:pStyle w:val="8"/>
        <w:numPr>
          <w:ilvl w:val="0"/>
          <w:numId w:val="5"/>
        </w:numPr>
        <w:shd w:val="clear" w:color="auto" w:fill="auto"/>
        <w:spacing w:before="0" w:after="0" w:line="276" w:lineRule="auto"/>
        <w:ind w:right="20"/>
        <w:rPr>
          <w:rFonts w:ascii="Times New Roman" w:hAnsi="Times New Roman"/>
          <w:sz w:val="24"/>
          <w:szCs w:val="24"/>
        </w:rPr>
      </w:pPr>
      <w:r>
        <w:rPr>
          <w:rFonts w:ascii="Times New Roman" w:hAnsi="Times New Roman"/>
          <w:sz w:val="24"/>
          <w:szCs w:val="24"/>
        </w:rPr>
        <w:t>на 2028 год в сумме  993 148,1 тыс. рублей.</w:t>
      </w:r>
    </w:p>
    <w:p w14:paraId="73ADF6F1">
      <w:pPr>
        <w:spacing w:line="360" w:lineRule="auto"/>
        <w:jc w:val="both"/>
        <w:rPr>
          <w:sz w:val="24"/>
          <w:szCs w:val="24"/>
        </w:rPr>
      </w:pPr>
      <w:r>
        <w:rPr>
          <w:sz w:val="24"/>
          <w:szCs w:val="24"/>
        </w:rPr>
        <w:t xml:space="preserve">      Из пояснительной записки, представленной комитетом по финансам, следует, что в условиях ограниченности бюджетных ресурсов и в целях сбалансированности бюджета расходная часть бюджета Дульдургинского муниципального округа на 2026 год и плановый период 2027-2028 годы сформирована:</w:t>
      </w:r>
    </w:p>
    <w:p w14:paraId="73E77442">
      <w:pPr>
        <w:numPr>
          <w:ilvl w:val="0"/>
          <w:numId w:val="6"/>
        </w:numPr>
        <w:jc w:val="both"/>
        <w:rPr>
          <w:sz w:val="24"/>
          <w:szCs w:val="24"/>
        </w:rPr>
      </w:pPr>
      <w:r>
        <w:rPr>
          <w:sz w:val="24"/>
          <w:szCs w:val="24"/>
        </w:rPr>
        <w:t xml:space="preserve">с учетом приоритетности расходов на основе проведенной инвентаризации расходных обязательств с целью исключения необязательных в текущей экономической ситуации затрат, </w:t>
      </w:r>
    </w:p>
    <w:p w14:paraId="1163F9CC">
      <w:pPr>
        <w:tabs>
          <w:tab w:val="left" w:pos="426"/>
        </w:tabs>
        <w:jc w:val="both"/>
        <w:rPr>
          <w:sz w:val="24"/>
          <w:szCs w:val="24"/>
        </w:rPr>
      </w:pPr>
      <w:r>
        <w:rPr>
          <w:sz w:val="24"/>
          <w:szCs w:val="24"/>
        </w:rPr>
        <w:t xml:space="preserve">      Расходная часть бюджета муниципального округа сформирована в пределах прогнозируемых доходов и выделяемой финансовой поддержки с краевого бюджета. И</w:t>
      </w:r>
    </w:p>
    <w:p w14:paraId="4372B74A">
      <w:pPr>
        <w:jc w:val="both"/>
        <w:rPr>
          <w:sz w:val="24"/>
          <w:szCs w:val="24"/>
        </w:rPr>
      </w:pPr>
      <w:r>
        <w:rPr>
          <w:sz w:val="24"/>
          <w:szCs w:val="24"/>
        </w:rPr>
        <w:t>составили, исходя из возможностей  бюджета,  объем расходов  на 2026 год   1 128 814,6 тыс. рублей, на 2027 год  1 030 668,6 тыс. рублей, на 2028 год  993 148,1 тыс. рублей.</w:t>
      </w:r>
    </w:p>
    <w:p w14:paraId="22EE63DB">
      <w:pPr>
        <w:ind w:firstLine="709"/>
        <w:jc w:val="both"/>
        <w:rPr>
          <w:sz w:val="24"/>
          <w:szCs w:val="24"/>
        </w:rPr>
      </w:pPr>
    </w:p>
    <w:p w14:paraId="2E799776">
      <w:pPr>
        <w:tabs>
          <w:tab w:val="left" w:pos="426"/>
        </w:tabs>
        <w:jc w:val="both"/>
        <w:rPr>
          <w:sz w:val="28"/>
          <w:szCs w:val="28"/>
        </w:rPr>
      </w:pPr>
      <w:r>
        <w:rPr>
          <w:sz w:val="24"/>
          <w:szCs w:val="24"/>
        </w:rPr>
        <w:t xml:space="preserve">       Расходы бюджета Дульдургинского муниципального округа на 2026 год по разделам классификации расходов бюджетов предусмотрены на расходы по выплате заработной платы и отчислений с заработной платы в расчете на 7,5 месяцев, на оплату коммунальных услуг в расчете на 12 месяцев.</w:t>
      </w:r>
    </w:p>
    <w:p w14:paraId="09B4479D">
      <w:pPr>
        <w:tabs>
          <w:tab w:val="left" w:pos="284"/>
          <w:tab w:val="left" w:pos="426"/>
        </w:tabs>
        <w:jc w:val="both"/>
        <w:rPr>
          <w:sz w:val="24"/>
          <w:szCs w:val="24"/>
        </w:rPr>
      </w:pPr>
      <w:bookmarkStart w:id="3" w:name="_Hlk219078459"/>
      <w:r>
        <w:rPr>
          <w:sz w:val="24"/>
          <w:szCs w:val="24"/>
        </w:rPr>
        <w:t xml:space="preserve">      Фонд заработной платы составил – 730 565,7 тыс. рублей; коммунальные услуги и котельно-печное топливо – 202 603,5 тыс. рублей. </w:t>
      </w:r>
    </w:p>
    <w:p w14:paraId="642BF8EC">
      <w:pPr>
        <w:ind w:firstLine="426"/>
        <w:jc w:val="both"/>
        <w:rPr>
          <w:sz w:val="24"/>
          <w:szCs w:val="24"/>
        </w:rPr>
      </w:pPr>
      <w:r>
        <w:rPr>
          <w:sz w:val="24"/>
          <w:szCs w:val="24"/>
        </w:rPr>
        <w:t xml:space="preserve">Прочие расходы (без учета дорожного фонда) в сумме 41 828,4 тыс. рублей распределены по следующим статьям расходов, в том числе: </w:t>
      </w:r>
    </w:p>
    <w:p w14:paraId="05F959FE">
      <w:pPr>
        <w:numPr>
          <w:ilvl w:val="0"/>
          <w:numId w:val="7"/>
        </w:numPr>
        <w:ind w:hanging="862"/>
        <w:jc w:val="both"/>
        <w:rPr>
          <w:sz w:val="24"/>
          <w:szCs w:val="24"/>
        </w:rPr>
      </w:pPr>
      <w:r>
        <w:rPr>
          <w:sz w:val="24"/>
          <w:szCs w:val="24"/>
        </w:rPr>
        <w:t xml:space="preserve">2 752,1 тыс. рублей – оплата налогов; </w:t>
      </w:r>
    </w:p>
    <w:p w14:paraId="49FE1A19">
      <w:pPr>
        <w:numPr>
          <w:ilvl w:val="0"/>
          <w:numId w:val="7"/>
        </w:numPr>
        <w:ind w:hanging="862"/>
        <w:jc w:val="both"/>
        <w:rPr>
          <w:sz w:val="24"/>
          <w:szCs w:val="24"/>
        </w:rPr>
      </w:pPr>
      <w:r>
        <w:rPr>
          <w:sz w:val="24"/>
          <w:szCs w:val="24"/>
        </w:rPr>
        <w:t xml:space="preserve">2 541,5 тыс. рублей – оплата услуг связи; </w:t>
      </w:r>
    </w:p>
    <w:p w14:paraId="343C0D18">
      <w:pPr>
        <w:numPr>
          <w:ilvl w:val="0"/>
          <w:numId w:val="7"/>
        </w:numPr>
        <w:ind w:hanging="862"/>
        <w:jc w:val="both"/>
        <w:rPr>
          <w:sz w:val="24"/>
          <w:szCs w:val="24"/>
          <w:highlight w:val="none"/>
        </w:rPr>
      </w:pPr>
      <w:r>
        <w:rPr>
          <w:sz w:val="24"/>
          <w:szCs w:val="24"/>
        </w:rPr>
        <w:t xml:space="preserve">1 550,0тыс. рублей -резервный фонд </w:t>
      </w:r>
      <w:r>
        <w:rPr>
          <w:sz w:val="24"/>
          <w:szCs w:val="24"/>
          <w:highlight w:val="none"/>
        </w:rPr>
        <w:t>муниципального округа</w:t>
      </w:r>
    </w:p>
    <w:p w14:paraId="7ECF2DA7">
      <w:pPr>
        <w:numPr>
          <w:ilvl w:val="0"/>
          <w:numId w:val="7"/>
        </w:numPr>
        <w:ind w:left="709" w:hanging="142"/>
        <w:jc w:val="both"/>
        <w:rPr>
          <w:sz w:val="24"/>
          <w:szCs w:val="24"/>
        </w:rPr>
      </w:pPr>
      <w:r>
        <w:rPr>
          <w:sz w:val="24"/>
          <w:szCs w:val="24"/>
        </w:rPr>
        <w:t xml:space="preserve">            600 тыс. рублей- на формирование резерва финансовых ресурсов для предупреждения и ликвидации чрезвычайных ситуаций, </w:t>
      </w:r>
    </w:p>
    <w:p w14:paraId="6D175AFF">
      <w:pPr>
        <w:numPr>
          <w:ilvl w:val="0"/>
          <w:numId w:val="7"/>
        </w:numPr>
        <w:ind w:left="709" w:hanging="142"/>
        <w:jc w:val="both"/>
        <w:rPr>
          <w:sz w:val="24"/>
          <w:szCs w:val="24"/>
        </w:rPr>
      </w:pPr>
      <w:r>
        <w:rPr>
          <w:sz w:val="24"/>
          <w:szCs w:val="24"/>
        </w:rPr>
        <w:t xml:space="preserve">расходы по оплате работ и услуг по содержанию имущества : услуги СЭС 1 206,0 тыс. рублей, противопожарная обработка 1 005,0 тыс. рублей, АПС 1 824,3 тыс. рублей </w:t>
      </w:r>
    </w:p>
    <w:p w14:paraId="340AE83E">
      <w:pPr>
        <w:numPr>
          <w:ilvl w:val="0"/>
          <w:numId w:val="7"/>
        </w:numPr>
        <w:ind w:left="709" w:hanging="142"/>
        <w:jc w:val="both"/>
        <w:rPr>
          <w:sz w:val="24"/>
          <w:szCs w:val="24"/>
        </w:rPr>
      </w:pPr>
      <w:r>
        <w:rPr>
          <w:sz w:val="24"/>
          <w:szCs w:val="24"/>
        </w:rPr>
        <w:t xml:space="preserve">прочим услугам : охрана 8 011,2 тыс. рублей, медосмотр 3 734,9 тыс. рублей, программное обеспечение 1 693,3 тыс. рублей и другие прочие расходы </w:t>
      </w:r>
    </w:p>
    <w:p w14:paraId="217C52E4">
      <w:pPr>
        <w:numPr>
          <w:ilvl w:val="0"/>
          <w:numId w:val="7"/>
        </w:numPr>
        <w:ind w:left="709" w:hanging="142"/>
        <w:jc w:val="both"/>
        <w:rPr>
          <w:sz w:val="24"/>
          <w:szCs w:val="24"/>
        </w:rPr>
      </w:pPr>
      <w:r>
        <w:rPr>
          <w:sz w:val="24"/>
          <w:szCs w:val="24"/>
        </w:rPr>
        <w:t xml:space="preserve"> санаторно-курортное возмещение– 1 142,7тыс. рублей,</w:t>
      </w:r>
    </w:p>
    <w:p w14:paraId="3164A812">
      <w:pPr>
        <w:numPr>
          <w:ilvl w:val="0"/>
          <w:numId w:val="7"/>
        </w:numPr>
        <w:ind w:left="709" w:hanging="142"/>
        <w:jc w:val="both"/>
        <w:rPr>
          <w:sz w:val="24"/>
          <w:szCs w:val="24"/>
        </w:rPr>
      </w:pPr>
      <w:r>
        <w:rPr>
          <w:sz w:val="24"/>
          <w:szCs w:val="24"/>
        </w:rPr>
        <w:t xml:space="preserve">субсидии редакции Ленинец 1 000 тыс. рублей, </w:t>
      </w:r>
    </w:p>
    <w:p w14:paraId="7D907C79">
      <w:pPr>
        <w:numPr>
          <w:ilvl w:val="0"/>
          <w:numId w:val="7"/>
        </w:numPr>
        <w:ind w:left="709" w:hanging="142"/>
        <w:jc w:val="both"/>
        <w:rPr>
          <w:sz w:val="24"/>
          <w:szCs w:val="24"/>
        </w:rPr>
      </w:pPr>
      <w:r>
        <w:rPr>
          <w:sz w:val="24"/>
          <w:szCs w:val="24"/>
        </w:rPr>
        <w:t xml:space="preserve">питание по садам и школам (КРО и ЕГЭ) 2 997,3 тыс. рублей, </w:t>
      </w:r>
    </w:p>
    <w:p w14:paraId="5985B6FC">
      <w:pPr>
        <w:numPr>
          <w:ilvl w:val="0"/>
          <w:numId w:val="7"/>
        </w:numPr>
        <w:ind w:left="709" w:hanging="142"/>
        <w:jc w:val="both"/>
        <w:rPr>
          <w:sz w:val="24"/>
          <w:szCs w:val="24"/>
        </w:rPr>
      </w:pPr>
      <w:r>
        <w:rPr>
          <w:sz w:val="24"/>
          <w:szCs w:val="24"/>
        </w:rPr>
        <w:t xml:space="preserve">пенсионное обеспечение – 4 444,4 тыс. рублей, </w:t>
      </w:r>
    </w:p>
    <w:p w14:paraId="79C9D8AE">
      <w:pPr>
        <w:numPr>
          <w:ilvl w:val="0"/>
          <w:numId w:val="7"/>
        </w:numPr>
        <w:ind w:left="709" w:hanging="142"/>
        <w:jc w:val="both"/>
        <w:rPr>
          <w:sz w:val="24"/>
          <w:szCs w:val="24"/>
        </w:rPr>
      </w:pPr>
      <w:r>
        <w:rPr>
          <w:sz w:val="24"/>
          <w:szCs w:val="24"/>
        </w:rPr>
        <w:t>другие расходы</w:t>
      </w:r>
    </w:p>
    <w:bookmarkEnd w:id="3"/>
    <w:p w14:paraId="49140A04">
      <w:pPr>
        <w:jc w:val="both"/>
        <w:rPr>
          <w:sz w:val="24"/>
          <w:szCs w:val="24"/>
        </w:rPr>
      </w:pPr>
      <w:r>
        <w:rPr>
          <w:sz w:val="24"/>
          <w:szCs w:val="24"/>
        </w:rPr>
        <w:t xml:space="preserve">        </w:t>
      </w:r>
    </w:p>
    <w:p w14:paraId="0FE5B306">
      <w:pPr>
        <w:jc w:val="both"/>
        <w:rPr>
          <w:sz w:val="24"/>
          <w:szCs w:val="24"/>
        </w:rPr>
      </w:pPr>
    </w:p>
    <w:p w14:paraId="71AD9BAF">
      <w:pPr>
        <w:jc w:val="both"/>
        <w:rPr>
          <w:sz w:val="24"/>
          <w:szCs w:val="24"/>
        </w:rPr>
      </w:pPr>
      <w:r>
        <w:rPr>
          <w:sz w:val="24"/>
          <w:szCs w:val="24"/>
        </w:rPr>
        <w:t xml:space="preserve"> Диаграмма 3.1. Структура расходов проекта бюджета Дульдургинского муниципального округа на 2026 год.</w:t>
      </w:r>
    </w:p>
    <w:p w14:paraId="4E1E231E">
      <w:pPr>
        <w:jc w:val="both"/>
        <w:rPr>
          <w:sz w:val="24"/>
          <w:szCs w:val="24"/>
        </w:rPr>
      </w:pPr>
    </w:p>
    <w:p w14:paraId="071B310F">
      <w:pPr>
        <w:jc w:val="both"/>
        <w:rPr>
          <w:sz w:val="24"/>
          <w:szCs w:val="24"/>
        </w:rPr>
      </w:pPr>
      <w:r>
        <w:drawing>
          <wp:inline distT="0" distB="0" distL="114300" distR="114300">
            <wp:extent cx="5734050" cy="2821940"/>
            <wp:effectExtent l="0" t="0" r="0" b="16510"/>
            <wp:docPr id="10"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4"/>
                    <pic:cNvPicPr>
                      <a:picLocks noChangeAspect="1"/>
                    </pic:cNvPicPr>
                  </pic:nvPicPr>
                  <pic:blipFill>
                    <a:blip r:embed="rId8"/>
                    <a:stretch>
                      <a:fillRect/>
                    </a:stretch>
                  </pic:blipFill>
                  <pic:spPr>
                    <a:xfrm>
                      <a:off x="0" y="0"/>
                      <a:ext cx="5734050" cy="2821940"/>
                    </a:xfrm>
                    <a:prstGeom prst="rect">
                      <a:avLst/>
                    </a:prstGeom>
                    <a:noFill/>
                    <a:ln>
                      <a:noFill/>
                    </a:ln>
                  </pic:spPr>
                </pic:pic>
              </a:graphicData>
            </a:graphic>
          </wp:inline>
        </w:drawing>
      </w:r>
    </w:p>
    <w:p w14:paraId="2B9E42B7">
      <w:pPr>
        <w:jc w:val="both"/>
        <w:rPr>
          <w:sz w:val="24"/>
          <w:szCs w:val="24"/>
        </w:rPr>
      </w:pPr>
    </w:p>
    <w:p w14:paraId="006DE343">
      <w:pPr>
        <w:tabs>
          <w:tab w:val="decimal" w:pos="426"/>
        </w:tabs>
        <w:jc w:val="center"/>
        <w:rPr>
          <w:sz w:val="24"/>
          <w:szCs w:val="24"/>
          <w:lang w:eastAsia="en-US"/>
        </w:rPr>
      </w:pPr>
      <w:r>
        <w:rPr>
          <w:sz w:val="24"/>
          <w:szCs w:val="24"/>
          <w:lang w:eastAsia="en-US"/>
        </w:rPr>
        <w:t>Таблица 3.2. Расходы  проекта бюджета Дульдургинского муниципального округа на 2026г. в сравнении с ожидаемым исполнением 2025 года (тыс.руб.)</w:t>
      </w:r>
    </w:p>
    <w:p w14:paraId="590B47DF">
      <w:pPr>
        <w:tabs>
          <w:tab w:val="decimal" w:pos="426"/>
        </w:tabs>
        <w:jc w:val="center"/>
        <w:rPr>
          <w:sz w:val="24"/>
          <w:szCs w:val="24"/>
          <w:lang w:eastAsia="en-US"/>
        </w:rPr>
      </w:pPr>
    </w:p>
    <w:p w14:paraId="0F822E0F">
      <w:pPr>
        <w:tabs>
          <w:tab w:val="decimal" w:pos="426"/>
        </w:tabs>
        <w:jc w:val="center"/>
        <w:rPr>
          <w:sz w:val="24"/>
          <w:szCs w:val="24"/>
          <w:lang w:eastAsia="en-US"/>
        </w:rPr>
      </w:pPr>
    </w:p>
    <w:p w14:paraId="457F3DB2">
      <w:pPr>
        <w:tabs>
          <w:tab w:val="decimal" w:pos="426"/>
        </w:tabs>
        <w:jc w:val="center"/>
        <w:rPr>
          <w:sz w:val="24"/>
          <w:szCs w:val="24"/>
          <w:lang w:eastAsia="en-US"/>
        </w:rPr>
      </w:pPr>
    </w:p>
    <w:p w14:paraId="5C4F6284">
      <w:pPr>
        <w:tabs>
          <w:tab w:val="decimal" w:pos="426"/>
        </w:tabs>
        <w:jc w:val="center"/>
        <w:rPr>
          <w:sz w:val="24"/>
          <w:szCs w:val="24"/>
          <w:lang w:eastAsia="en-US"/>
        </w:rPr>
      </w:pPr>
    </w:p>
    <w:p w14:paraId="00D63537">
      <w:pPr>
        <w:tabs>
          <w:tab w:val="decimal" w:pos="426"/>
        </w:tabs>
        <w:jc w:val="center"/>
        <w:rPr>
          <w:sz w:val="24"/>
          <w:szCs w:val="24"/>
          <w:lang w:eastAsia="en-US"/>
        </w:rPr>
      </w:pPr>
    </w:p>
    <w:p w14:paraId="67857084">
      <w:pPr>
        <w:tabs>
          <w:tab w:val="decimal" w:pos="426"/>
        </w:tabs>
        <w:jc w:val="center"/>
        <w:rPr>
          <w:sz w:val="24"/>
          <w:szCs w:val="24"/>
          <w:lang w:eastAsia="en-US"/>
        </w:rPr>
      </w:pPr>
    </w:p>
    <w:p w14:paraId="191FF046">
      <w:pPr>
        <w:tabs>
          <w:tab w:val="decimal" w:pos="426"/>
        </w:tabs>
        <w:jc w:val="both"/>
        <w:rPr>
          <w:sz w:val="24"/>
          <w:szCs w:val="24"/>
          <w:lang w:eastAsia="en-US"/>
        </w:rPr>
      </w:pPr>
    </w:p>
    <w:p w14:paraId="34E9F99B">
      <w:pPr>
        <w:tabs>
          <w:tab w:val="decimal" w:pos="426"/>
        </w:tabs>
        <w:jc w:val="both"/>
        <w:rPr>
          <w:sz w:val="24"/>
          <w:szCs w:val="24"/>
          <w:lang w:eastAsia="en-US"/>
        </w:rPr>
      </w:pPr>
    </w:p>
    <w:p w14:paraId="1538450D">
      <w:pPr>
        <w:tabs>
          <w:tab w:val="decimal" w:pos="426"/>
        </w:tabs>
        <w:rPr>
          <w:sz w:val="24"/>
          <w:szCs w:val="24"/>
          <w:lang w:eastAsia="en-US"/>
        </w:rPr>
      </w:pPr>
      <w:r>
        <w:drawing>
          <wp:inline distT="0" distB="0" distL="0" distR="0">
            <wp:extent cx="5848350" cy="946785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48350" cy="9467850"/>
                    </a:xfrm>
                    <a:prstGeom prst="rect">
                      <a:avLst/>
                    </a:prstGeom>
                    <a:noFill/>
                    <a:ln>
                      <a:noFill/>
                    </a:ln>
                  </pic:spPr>
                </pic:pic>
              </a:graphicData>
            </a:graphic>
          </wp:inline>
        </w:drawing>
      </w:r>
    </w:p>
    <w:p w14:paraId="2ABDCD7E">
      <w:pPr>
        <w:jc w:val="both"/>
        <w:rPr>
          <w:sz w:val="24"/>
          <w:szCs w:val="24"/>
          <w:lang w:eastAsia="en-US"/>
        </w:rPr>
      </w:pPr>
    </w:p>
    <w:p w14:paraId="4E811AB9">
      <w:pPr>
        <w:pStyle w:val="8"/>
        <w:shd w:val="clear" w:color="auto" w:fill="auto"/>
        <w:spacing w:before="0" w:after="0" w:line="276" w:lineRule="auto"/>
        <w:ind w:left="0" w:leftChars="0" w:right="20" w:firstLine="398" w:firstLineChars="166"/>
        <w:jc w:val="both"/>
        <w:rPr>
          <w:rFonts w:ascii="Times New Roman" w:hAnsi="Times New Roman"/>
          <w:sz w:val="24"/>
          <w:szCs w:val="24"/>
        </w:rPr>
      </w:pPr>
      <w:r>
        <w:rPr>
          <w:rFonts w:ascii="Times New Roman" w:hAnsi="Times New Roman"/>
          <w:sz w:val="24"/>
          <w:szCs w:val="24"/>
        </w:rPr>
        <w:t xml:space="preserve">Расходы на </w:t>
      </w:r>
      <w:r>
        <w:rPr>
          <w:rFonts w:ascii="Times New Roman" w:hAnsi="Times New Roman"/>
          <w:b/>
          <w:sz w:val="24"/>
          <w:szCs w:val="24"/>
        </w:rPr>
        <w:t>раздел 01 «Общегосударственные вопросы»</w:t>
      </w:r>
      <w:r>
        <w:rPr>
          <w:rFonts w:ascii="Times New Roman" w:hAnsi="Times New Roman"/>
          <w:sz w:val="24"/>
          <w:szCs w:val="24"/>
        </w:rPr>
        <w:t xml:space="preserve"> составят в 2026 году </w:t>
      </w:r>
    </w:p>
    <w:p w14:paraId="49EB1964">
      <w:pPr>
        <w:pStyle w:val="8"/>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 xml:space="preserve">148 695,0 тыс. руб., что к ожидаемому уровню  2025 года составит увеличение на </w:t>
      </w:r>
    </w:p>
    <w:p w14:paraId="5B39DBF5">
      <w:pPr>
        <w:pStyle w:val="8"/>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76 703,1 тыс.  руб. Доля раздела  01 в общей структуре расходов составит 13,17%.  В раздел включены подразделы:</w:t>
      </w:r>
    </w:p>
    <w:p w14:paraId="55B81C8C">
      <w:pPr>
        <w:pStyle w:val="8"/>
        <w:numPr>
          <w:ilvl w:val="0"/>
          <w:numId w:val="8"/>
        </w:numPr>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 xml:space="preserve">Функционирование Главы муниципального района – </w:t>
      </w:r>
      <w:r>
        <w:rPr>
          <w:rFonts w:ascii="Times New Roman" w:hAnsi="Times New Roman"/>
        </w:rPr>
        <w:t>1 601,7</w:t>
      </w:r>
      <w:r>
        <w:rPr>
          <w:rFonts w:ascii="Times New Roman" w:hAnsi="Times New Roman"/>
          <w:sz w:val="24"/>
          <w:szCs w:val="24"/>
        </w:rPr>
        <w:t>тыс. рублей (64,7% к уровню 2025 года). Заработная плата предусмотрена на 7,5 месяцев.</w:t>
      </w:r>
    </w:p>
    <w:p w14:paraId="132BF8D6">
      <w:pPr>
        <w:pStyle w:val="8"/>
        <w:numPr>
          <w:ilvl w:val="0"/>
          <w:numId w:val="8"/>
        </w:numPr>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 xml:space="preserve">Содержание Совета муниципального района – </w:t>
      </w:r>
      <w:r>
        <w:rPr>
          <w:rFonts w:ascii="Times New Roman" w:hAnsi="Times New Roman"/>
        </w:rPr>
        <w:t>1 573,9</w:t>
      </w:r>
      <w:r>
        <w:rPr>
          <w:rFonts w:ascii="Times New Roman" w:hAnsi="Times New Roman"/>
          <w:sz w:val="24"/>
          <w:szCs w:val="24"/>
        </w:rPr>
        <w:t>тыс. руб. (</w:t>
      </w:r>
      <w:r>
        <w:rPr>
          <w:rFonts w:ascii="Times New Roman" w:hAnsi="Times New Roman"/>
        </w:rPr>
        <w:t xml:space="preserve">в 2,7 раза больше </w:t>
      </w:r>
      <w:r>
        <w:rPr>
          <w:rFonts w:ascii="Times New Roman" w:hAnsi="Times New Roman"/>
          <w:sz w:val="24"/>
          <w:szCs w:val="24"/>
        </w:rPr>
        <w:t xml:space="preserve"> уровня 2025г.)</w:t>
      </w:r>
    </w:p>
    <w:p w14:paraId="18F5D248">
      <w:pPr>
        <w:pStyle w:val="8"/>
        <w:numPr>
          <w:ilvl w:val="0"/>
          <w:numId w:val="8"/>
        </w:numPr>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 xml:space="preserve">Функционирование местной администрации – </w:t>
      </w:r>
      <w:r>
        <w:rPr>
          <w:rFonts w:ascii="Times New Roman" w:hAnsi="Times New Roman"/>
        </w:rPr>
        <w:t xml:space="preserve">36 111,0 </w:t>
      </w:r>
      <w:r>
        <w:rPr>
          <w:rFonts w:ascii="Times New Roman" w:hAnsi="Times New Roman"/>
          <w:sz w:val="24"/>
          <w:szCs w:val="24"/>
        </w:rPr>
        <w:t>тыс. руб. (в 1,7 раза больше  к уровню 2025 г.)</w:t>
      </w:r>
    </w:p>
    <w:p w14:paraId="2990D1E6">
      <w:pPr>
        <w:pStyle w:val="8"/>
        <w:numPr>
          <w:ilvl w:val="0"/>
          <w:numId w:val="8"/>
        </w:numPr>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 xml:space="preserve">Обеспечение деятельности финансового органа и органов финансового контроля  - </w:t>
      </w:r>
    </w:p>
    <w:p w14:paraId="33D131CF">
      <w:pPr>
        <w:pStyle w:val="8"/>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8 235,9 тыс. руб. (79,1 % к 2025 г.)</w:t>
      </w:r>
    </w:p>
    <w:p w14:paraId="7B709016">
      <w:pPr>
        <w:pStyle w:val="8"/>
        <w:numPr>
          <w:ilvl w:val="0"/>
          <w:numId w:val="8"/>
        </w:numPr>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Судебная система- 27,4 тыс. рублей</w:t>
      </w:r>
    </w:p>
    <w:p w14:paraId="28549D8C">
      <w:pPr>
        <w:pStyle w:val="8"/>
        <w:numPr>
          <w:ilvl w:val="0"/>
          <w:numId w:val="8"/>
        </w:numPr>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 xml:space="preserve">Резервный фонд администрации муниципального района предусмотрен в размере </w:t>
      </w:r>
    </w:p>
    <w:p w14:paraId="512CB995">
      <w:pPr>
        <w:pStyle w:val="8"/>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1 550,0тыс. рублей</w:t>
      </w:r>
    </w:p>
    <w:p w14:paraId="3BD86C09">
      <w:pPr>
        <w:pStyle w:val="8"/>
        <w:numPr>
          <w:ilvl w:val="0"/>
          <w:numId w:val="8"/>
        </w:numPr>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Другие общегосударственные вопросы  - 99 595,1тыс. рублей (в 2,8 раза больше  уровня 2025г.)</w:t>
      </w:r>
    </w:p>
    <w:p w14:paraId="78B5661D">
      <w:pPr>
        <w:pStyle w:val="8"/>
        <w:shd w:val="clear" w:color="auto" w:fill="auto"/>
        <w:tabs>
          <w:tab w:val="left" w:pos="284"/>
        </w:tabs>
        <w:spacing w:before="0" w:after="0" w:line="276" w:lineRule="auto"/>
        <w:ind w:right="20" w:firstLine="567"/>
        <w:jc w:val="both"/>
        <w:rPr>
          <w:rFonts w:ascii="Times New Roman" w:hAnsi="Times New Roman"/>
          <w:sz w:val="24"/>
          <w:szCs w:val="24"/>
        </w:rPr>
      </w:pPr>
    </w:p>
    <w:p w14:paraId="621B665C">
      <w:pPr>
        <w:pStyle w:val="8"/>
        <w:shd w:val="clear" w:color="auto" w:fill="auto"/>
        <w:tabs>
          <w:tab w:val="left" w:pos="284"/>
        </w:tabs>
        <w:spacing w:before="0" w:after="0" w:line="276" w:lineRule="auto"/>
        <w:ind w:right="20" w:firstLine="567"/>
        <w:jc w:val="both"/>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b/>
          <w:sz w:val="24"/>
          <w:szCs w:val="24"/>
        </w:rPr>
        <w:t>02 «Национальная оборона»</w:t>
      </w:r>
      <w:r>
        <w:rPr>
          <w:rFonts w:ascii="Times New Roman" w:hAnsi="Times New Roman"/>
          <w:sz w:val="24"/>
          <w:szCs w:val="24"/>
        </w:rPr>
        <w:t xml:space="preserve"> на 2025  год запланирован в сумме 1 791,5</w:t>
      </w:r>
      <w:r>
        <w:rPr>
          <w:rFonts w:ascii="Times New Roman" w:hAnsi="Times New Roman"/>
          <w:bCs/>
          <w:sz w:val="24"/>
          <w:szCs w:val="24"/>
        </w:rPr>
        <w:t xml:space="preserve"> </w:t>
      </w:r>
      <w:r>
        <w:rPr>
          <w:rFonts w:ascii="Times New Roman" w:hAnsi="Times New Roman"/>
          <w:sz w:val="24"/>
          <w:szCs w:val="24"/>
        </w:rPr>
        <w:t>тыс.руб., на обеспечение деятельности военно-учетного стола в сельских поселениях.</w:t>
      </w:r>
    </w:p>
    <w:p w14:paraId="5032D321">
      <w:pPr>
        <w:pStyle w:val="8"/>
        <w:shd w:val="clear" w:color="auto" w:fill="auto"/>
        <w:tabs>
          <w:tab w:val="left" w:pos="284"/>
        </w:tabs>
        <w:spacing w:before="0" w:after="0" w:line="276" w:lineRule="auto"/>
        <w:ind w:right="20" w:firstLine="567"/>
        <w:jc w:val="both"/>
        <w:rPr>
          <w:rFonts w:ascii="Times New Roman" w:hAnsi="Times New Roman"/>
          <w:sz w:val="24"/>
          <w:szCs w:val="24"/>
        </w:rPr>
      </w:pPr>
    </w:p>
    <w:p w14:paraId="48DA6E8E">
      <w:pPr>
        <w:pStyle w:val="8"/>
        <w:shd w:val="clear" w:color="auto" w:fill="auto"/>
        <w:tabs>
          <w:tab w:val="left" w:pos="284"/>
        </w:tabs>
        <w:spacing w:before="0" w:after="0" w:line="276" w:lineRule="auto"/>
        <w:ind w:right="20" w:firstLine="567"/>
        <w:jc w:val="both"/>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b/>
          <w:sz w:val="24"/>
          <w:szCs w:val="24"/>
        </w:rPr>
        <w:t>03 «Национальная безопасность и правоохранительная деятельность»</w:t>
      </w:r>
      <w:r>
        <w:rPr>
          <w:rFonts w:ascii="Times New Roman" w:hAnsi="Times New Roman"/>
          <w:sz w:val="24"/>
          <w:szCs w:val="24"/>
        </w:rPr>
        <w:t xml:space="preserve"> на 2025  год запланирован на сумму</w:t>
      </w:r>
      <w:r>
        <w:rPr>
          <w:rFonts w:ascii="Times New Roman" w:hAnsi="Times New Roman"/>
          <w:bCs/>
          <w:sz w:val="24"/>
          <w:szCs w:val="24"/>
        </w:rPr>
        <w:t xml:space="preserve">6 903,6 </w:t>
      </w:r>
      <w:r>
        <w:rPr>
          <w:rFonts w:ascii="Times New Roman" w:hAnsi="Times New Roman"/>
          <w:sz w:val="24"/>
          <w:szCs w:val="24"/>
        </w:rPr>
        <w:t>тыс.руб., из них на выполнение мероприятий по предупреждению и ликвидации последствий чрезвычайных ситуаций и стихийных бедствий 800,0 тыс. руб.,  6 103,6 тыс.руб. на обеспечение деятельности системы вызова экстренных оперативных служб муниципального района.</w:t>
      </w:r>
    </w:p>
    <w:p w14:paraId="7ED0280E">
      <w:pPr>
        <w:pStyle w:val="8"/>
        <w:shd w:val="clear" w:color="auto" w:fill="auto"/>
        <w:spacing w:before="0" w:after="0" w:line="276" w:lineRule="auto"/>
        <w:ind w:right="20" w:firstLine="567"/>
        <w:jc w:val="both"/>
        <w:rPr>
          <w:rFonts w:ascii="Times New Roman" w:hAnsi="Times New Roman"/>
          <w:sz w:val="24"/>
          <w:szCs w:val="24"/>
        </w:rPr>
      </w:pPr>
    </w:p>
    <w:p w14:paraId="129DA590">
      <w:pPr>
        <w:pStyle w:val="8"/>
        <w:shd w:val="clear" w:color="auto" w:fill="auto"/>
        <w:spacing w:before="0" w:after="0" w:line="276" w:lineRule="auto"/>
        <w:ind w:right="20" w:firstLine="567"/>
        <w:jc w:val="both"/>
        <w:rPr>
          <w:rFonts w:ascii="Times New Roman" w:hAnsi="Times New Roman"/>
          <w:sz w:val="24"/>
          <w:szCs w:val="24"/>
        </w:rPr>
      </w:pPr>
      <w:r>
        <w:rPr>
          <w:rFonts w:ascii="Times New Roman" w:hAnsi="Times New Roman"/>
          <w:sz w:val="24"/>
          <w:szCs w:val="24"/>
        </w:rPr>
        <w:t xml:space="preserve">По  разделу </w:t>
      </w:r>
      <w:r>
        <w:rPr>
          <w:rFonts w:ascii="Times New Roman" w:hAnsi="Times New Roman"/>
          <w:b/>
          <w:sz w:val="24"/>
          <w:szCs w:val="24"/>
        </w:rPr>
        <w:t>04 «Национальная экономика»</w:t>
      </w:r>
      <w:r>
        <w:rPr>
          <w:rFonts w:ascii="Times New Roman" w:hAnsi="Times New Roman"/>
          <w:sz w:val="24"/>
          <w:szCs w:val="24"/>
        </w:rPr>
        <w:t xml:space="preserve">расходы на 2025 год составят </w:t>
      </w:r>
    </w:p>
    <w:p w14:paraId="44E53E2F">
      <w:pPr>
        <w:pStyle w:val="8"/>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105 583,9 тыс. руб. По данному разделу предусмотрены расходы:</w:t>
      </w:r>
    </w:p>
    <w:p w14:paraId="298F65BF">
      <w:pPr>
        <w:pStyle w:val="8"/>
        <w:numPr>
          <w:ilvl w:val="0"/>
          <w:numId w:val="9"/>
        </w:numPr>
        <w:shd w:val="clear" w:color="auto" w:fill="auto"/>
        <w:spacing w:before="0" w:after="0" w:line="276" w:lineRule="auto"/>
        <w:ind w:right="20"/>
        <w:jc w:val="both"/>
        <w:rPr>
          <w:rFonts w:ascii="Times New Roman" w:hAnsi="Times New Roman"/>
          <w:sz w:val="24"/>
          <w:szCs w:val="24"/>
          <w:highlight w:val="yellow"/>
        </w:rPr>
      </w:pPr>
      <w:r>
        <w:rPr>
          <w:rFonts w:ascii="Times New Roman" w:hAnsi="Times New Roman"/>
          <w:sz w:val="24"/>
          <w:szCs w:val="24"/>
        </w:rPr>
        <w:t xml:space="preserve">на   сельское хозяйство – 8 192,7 тыс. руб. </w:t>
      </w:r>
    </w:p>
    <w:p w14:paraId="7D3F0D9A">
      <w:pPr>
        <w:pStyle w:val="8"/>
        <w:numPr>
          <w:ilvl w:val="0"/>
          <w:numId w:val="9"/>
        </w:numPr>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 xml:space="preserve">на дорожный фонд  97 086,4 тыс. руб. </w:t>
      </w:r>
    </w:p>
    <w:p w14:paraId="76F9B624">
      <w:pPr>
        <w:pStyle w:val="8"/>
        <w:numPr>
          <w:ilvl w:val="0"/>
          <w:numId w:val="9"/>
        </w:numPr>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на другие вопросы в области национальной экономики 304,8 тыс.руб.</w:t>
      </w:r>
    </w:p>
    <w:p w14:paraId="64CD842D">
      <w:pPr>
        <w:pStyle w:val="8"/>
        <w:shd w:val="clear" w:color="auto" w:fill="auto"/>
        <w:spacing w:before="0" w:after="0" w:line="276" w:lineRule="auto"/>
        <w:ind w:left="709" w:right="20"/>
        <w:jc w:val="both"/>
        <w:rPr>
          <w:rFonts w:ascii="Times New Roman" w:hAnsi="Times New Roman"/>
          <w:sz w:val="24"/>
          <w:szCs w:val="24"/>
        </w:rPr>
      </w:pPr>
    </w:p>
    <w:p w14:paraId="3B54B15A">
      <w:pPr>
        <w:pStyle w:val="8"/>
        <w:shd w:val="clear" w:color="auto" w:fill="auto"/>
        <w:tabs>
          <w:tab w:val="left" w:pos="567"/>
        </w:tabs>
        <w:spacing w:before="0" w:after="0" w:line="276" w:lineRule="auto"/>
        <w:ind w:left="0" w:leftChars="0" w:right="20" w:firstLine="480" w:firstLineChars="200"/>
        <w:jc w:val="both"/>
        <w:rPr>
          <w:rFonts w:ascii="Times New Roman" w:hAnsi="Times New Roman"/>
          <w:sz w:val="24"/>
          <w:szCs w:val="24"/>
        </w:rPr>
      </w:pPr>
      <w:r>
        <w:rPr>
          <w:rFonts w:ascii="Times New Roman" w:hAnsi="Times New Roman"/>
          <w:sz w:val="24"/>
          <w:szCs w:val="24"/>
        </w:rPr>
        <w:t xml:space="preserve">По  разделу 05 «Жилищно-коммунальное хозяйство» расходы на 2025 год составят </w:t>
      </w:r>
    </w:p>
    <w:p w14:paraId="3B249EF7">
      <w:pPr>
        <w:pStyle w:val="8"/>
        <w:shd w:val="clear" w:color="auto" w:fill="auto"/>
        <w:tabs>
          <w:tab w:val="left" w:pos="567"/>
        </w:tabs>
        <w:spacing w:before="0" w:after="0" w:line="276" w:lineRule="auto"/>
        <w:ind w:right="20"/>
        <w:jc w:val="both"/>
        <w:rPr>
          <w:rFonts w:ascii="Times New Roman" w:hAnsi="Times New Roman"/>
          <w:sz w:val="24"/>
          <w:szCs w:val="24"/>
        </w:rPr>
      </w:pPr>
      <w:r>
        <w:rPr>
          <w:rFonts w:ascii="Times New Roman" w:hAnsi="Times New Roman"/>
          <w:sz w:val="24"/>
          <w:szCs w:val="24"/>
        </w:rPr>
        <w:t>1 390,3 тыс. руб. по подразделу « Другие вопросы в области ЖКХ».</w:t>
      </w:r>
    </w:p>
    <w:p w14:paraId="06F33856">
      <w:pPr>
        <w:pStyle w:val="8"/>
        <w:shd w:val="clear" w:color="auto" w:fill="auto"/>
        <w:tabs>
          <w:tab w:val="left" w:pos="567"/>
        </w:tabs>
        <w:spacing w:before="0" w:after="0" w:line="276" w:lineRule="auto"/>
        <w:ind w:right="20" w:firstLine="567"/>
        <w:jc w:val="both"/>
        <w:rPr>
          <w:rFonts w:ascii="Times New Roman" w:hAnsi="Times New Roman"/>
          <w:sz w:val="24"/>
          <w:szCs w:val="24"/>
        </w:rPr>
      </w:pPr>
    </w:p>
    <w:p w14:paraId="3BC4DD1C">
      <w:pPr>
        <w:pStyle w:val="8"/>
        <w:shd w:val="clear" w:color="auto" w:fill="auto"/>
        <w:tabs>
          <w:tab w:val="left" w:pos="567"/>
        </w:tabs>
        <w:spacing w:before="0" w:after="0" w:line="276" w:lineRule="auto"/>
        <w:ind w:left="0" w:leftChars="0" w:right="20" w:firstLine="480" w:firstLineChars="200"/>
        <w:jc w:val="both"/>
        <w:rPr>
          <w:rFonts w:ascii="Times New Roman" w:hAnsi="Times New Roman"/>
          <w:sz w:val="24"/>
          <w:szCs w:val="24"/>
        </w:rPr>
      </w:pPr>
      <w:r>
        <w:rPr>
          <w:rFonts w:ascii="Times New Roman" w:hAnsi="Times New Roman"/>
          <w:sz w:val="24"/>
          <w:szCs w:val="24"/>
        </w:rPr>
        <w:t>На другие вопросы в области охраны окружающей среды предусмотрены средства в сумме 333,0 тыс.рублей по разделу «Охрана окружающей среды»</w:t>
      </w:r>
    </w:p>
    <w:p w14:paraId="0A6358E9">
      <w:pPr>
        <w:pStyle w:val="8"/>
        <w:shd w:val="clear" w:color="auto" w:fill="auto"/>
        <w:tabs>
          <w:tab w:val="left" w:pos="567"/>
        </w:tabs>
        <w:spacing w:before="0" w:after="0" w:line="276" w:lineRule="auto"/>
        <w:ind w:right="20" w:firstLine="567"/>
        <w:jc w:val="both"/>
        <w:rPr>
          <w:rFonts w:ascii="Times New Roman" w:hAnsi="Times New Roman"/>
          <w:sz w:val="24"/>
          <w:szCs w:val="24"/>
        </w:rPr>
      </w:pPr>
    </w:p>
    <w:p w14:paraId="20569F0A">
      <w:pPr>
        <w:pStyle w:val="8"/>
        <w:shd w:val="clear" w:color="auto" w:fill="auto"/>
        <w:tabs>
          <w:tab w:val="left" w:pos="400"/>
          <w:tab w:val="left" w:pos="567"/>
        </w:tabs>
        <w:spacing w:before="0" w:after="0" w:line="276" w:lineRule="auto"/>
        <w:ind w:left="0" w:leftChars="0" w:right="20" w:firstLine="400" w:firstLineChars="0"/>
        <w:jc w:val="both"/>
        <w:rPr>
          <w:rFonts w:ascii="Times New Roman" w:hAnsi="Times New Roman"/>
          <w:sz w:val="24"/>
          <w:szCs w:val="24"/>
        </w:rPr>
      </w:pPr>
      <w:r>
        <w:rPr>
          <w:rFonts w:ascii="Times New Roman" w:hAnsi="Times New Roman"/>
          <w:sz w:val="24"/>
          <w:szCs w:val="24"/>
        </w:rPr>
        <w:t xml:space="preserve">Самый большой по объёму раздел расходов бюджета – </w:t>
      </w:r>
      <w:r>
        <w:rPr>
          <w:rFonts w:ascii="Times New Roman" w:hAnsi="Times New Roman"/>
          <w:b/>
          <w:sz w:val="24"/>
          <w:szCs w:val="24"/>
        </w:rPr>
        <w:t>07 «Образование»</w:t>
      </w:r>
      <w:r>
        <w:rPr>
          <w:rFonts w:ascii="Times New Roman" w:hAnsi="Times New Roman"/>
          <w:sz w:val="24"/>
          <w:szCs w:val="24"/>
        </w:rPr>
        <w:t xml:space="preserve"> - занимает 68,1% от всех расходов бюджета, здесь предусмотрено 768 735,2 тыс. руб. (уменьшение на 177 529,1 тыс. руб., 79,1%  к уровню  2025г.)</w:t>
      </w:r>
    </w:p>
    <w:p w14:paraId="3620058B">
      <w:pPr>
        <w:pStyle w:val="8"/>
        <w:shd w:val="clear" w:color="auto" w:fill="auto"/>
        <w:spacing w:before="0" w:after="0" w:line="276" w:lineRule="auto"/>
        <w:ind w:right="20" w:firstLine="567"/>
        <w:jc w:val="both"/>
        <w:rPr>
          <w:rFonts w:ascii="Times New Roman" w:hAnsi="Times New Roman"/>
          <w:sz w:val="24"/>
          <w:szCs w:val="24"/>
          <w:highlight w:val="yellow"/>
        </w:rPr>
      </w:pPr>
      <w:r>
        <w:rPr>
          <w:rFonts w:ascii="Times New Roman" w:hAnsi="Times New Roman"/>
          <w:sz w:val="24"/>
          <w:szCs w:val="24"/>
        </w:rPr>
        <w:t>По подразделу «Дошкольное образование» предусмотрено 203 979,5 тыс. руб. (98,3% к ожидаемому уровню 2025г.). Из них  125 765,5 тыс. руб. – средства краевой субвенции на обеспечение государственных гарантий прав граждан на получение общедоступного и бесплатного дошкольного  образования, краевые средства на дополнительные меры социальной поддержки отдельной категории граждан в виде не взимания платы за присмотр и уход за их детьми в сумме  2 732,8 тыс. руб.</w:t>
      </w:r>
    </w:p>
    <w:p w14:paraId="552CAA55">
      <w:pPr>
        <w:jc w:val="both"/>
        <w:rPr>
          <w:sz w:val="24"/>
          <w:szCs w:val="24"/>
        </w:rPr>
      </w:pPr>
      <w:r>
        <w:rPr>
          <w:sz w:val="24"/>
          <w:szCs w:val="24"/>
        </w:rPr>
        <w:t xml:space="preserve">        «Общее образование» на 2026 год составит 471 885,4 тыс. руб. (74,4% к 2025 г., уменьшение на 162 527,5 тыс. руб.).   В том числе краевые средства:</w:t>
      </w:r>
    </w:p>
    <w:p w14:paraId="2D8F73EB">
      <w:pPr>
        <w:numPr>
          <w:ilvl w:val="0"/>
          <w:numId w:val="10"/>
        </w:numPr>
        <w:jc w:val="both"/>
        <w:rPr>
          <w:rFonts w:ascii="Arial" w:hAnsi="Arial" w:cs="Arial"/>
          <w:sz w:val="18"/>
          <w:szCs w:val="18"/>
        </w:rPr>
      </w:pPr>
      <w:r>
        <w:rPr>
          <w:sz w:val="24"/>
          <w:szCs w:val="24"/>
        </w:rPr>
        <w:t xml:space="preserve">на обеспечение государственных гарантий прав граждан на получение общедоступного и бесплатного общего образования 301 539,9 тыс. руб., </w:t>
      </w:r>
    </w:p>
    <w:p w14:paraId="735ECD91">
      <w:pPr>
        <w:numPr>
          <w:ilvl w:val="0"/>
          <w:numId w:val="11"/>
        </w:numPr>
        <w:jc w:val="both"/>
        <w:rPr>
          <w:rFonts w:ascii="Arial" w:hAnsi="Arial" w:cs="Arial"/>
          <w:sz w:val="18"/>
          <w:szCs w:val="18"/>
        </w:rPr>
      </w:pPr>
      <w:r>
        <w:rPr>
          <w:sz w:val="24"/>
          <w:szCs w:val="24"/>
        </w:rPr>
        <w:t xml:space="preserve">на обеспечение бесплатным, льготным питанием детей на сумму 4 266,3  тыс.руб., </w:t>
      </w:r>
    </w:p>
    <w:p w14:paraId="170133A8">
      <w:pPr>
        <w:numPr>
          <w:ilvl w:val="0"/>
          <w:numId w:val="11"/>
        </w:numPr>
        <w:jc w:val="both"/>
        <w:rPr>
          <w:rFonts w:ascii="Arial" w:hAnsi="Arial" w:cs="Arial"/>
          <w:sz w:val="18"/>
          <w:szCs w:val="18"/>
        </w:rPr>
      </w:pPr>
      <w:r>
        <w:rPr>
          <w:sz w:val="24"/>
          <w:szCs w:val="24"/>
        </w:rPr>
        <w:t>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на сумму 2 594,9тыс. руб.,</w:t>
      </w:r>
    </w:p>
    <w:p w14:paraId="242770CD">
      <w:pPr>
        <w:numPr>
          <w:ilvl w:val="0"/>
          <w:numId w:val="11"/>
        </w:numPr>
        <w:jc w:val="both"/>
        <w:rPr>
          <w:rFonts w:ascii="Arial" w:hAnsi="Arial" w:cs="Arial"/>
          <w:sz w:val="18"/>
          <w:szCs w:val="18"/>
        </w:rPr>
      </w:pPr>
      <w:r>
        <w:rPr>
          <w:sz w:val="24"/>
          <w:szCs w:val="24"/>
        </w:rPr>
        <w:t>создание условий по организации бесплатного горячего питания обучающихся, получающих начальное общее образование в муниципальных образовательных организациях на сумму 1 652,1тыс.руб.,</w:t>
      </w:r>
    </w:p>
    <w:p w14:paraId="181F27DD">
      <w:pPr>
        <w:numPr>
          <w:ilvl w:val="0"/>
          <w:numId w:val="11"/>
        </w:numPr>
        <w:jc w:val="both"/>
        <w:rPr>
          <w:sz w:val="24"/>
          <w:szCs w:val="24"/>
        </w:rPr>
      </w:pPr>
      <w:r>
        <w:rPr>
          <w:sz w:val="24"/>
          <w:szCs w:val="24"/>
        </w:rPr>
        <w:t xml:space="preserve">обеспечение льготным питанием детей военнослужащих, сотрудников некоторых федеральных государственных органов, граждан, призванных на военную службу по мобилизации, граждан, добровольно поступивших на добровольческие формирования, осваивающих образовательную программу на сумму 12 708,2 тыс.руб.,  </w:t>
      </w:r>
    </w:p>
    <w:p w14:paraId="7E491662">
      <w:pPr>
        <w:pStyle w:val="8"/>
        <w:shd w:val="clear" w:color="auto" w:fill="auto"/>
        <w:spacing w:before="0" w:after="0" w:line="276" w:lineRule="auto"/>
        <w:ind w:left="0" w:leftChars="0" w:right="20" w:firstLine="400" w:firstLineChars="0"/>
        <w:jc w:val="both"/>
        <w:rPr>
          <w:rFonts w:ascii="Times New Roman" w:hAnsi="Times New Roman"/>
          <w:sz w:val="24"/>
          <w:szCs w:val="24"/>
        </w:rPr>
      </w:pPr>
      <w:r>
        <w:rPr>
          <w:rFonts w:ascii="Times New Roman" w:hAnsi="Times New Roman"/>
          <w:sz w:val="24"/>
          <w:szCs w:val="24"/>
        </w:rPr>
        <w:t xml:space="preserve">На подраздел 0703 «Дополнительное образование» предусмотрено на 2026 год </w:t>
      </w:r>
    </w:p>
    <w:p w14:paraId="54ECAA48">
      <w:pPr>
        <w:pStyle w:val="8"/>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58 843,2тыс. руб., что на 7 989,9 тыс. руб. меньше уровня 2025 года. Сюда  включены суммы субсидий на выполнение муниципальных заданий учреждений дополнительного образования детей: ДЮСШ, ДДТ, Дворец спорта в с. Таптанай, ДШИ.</w:t>
      </w:r>
    </w:p>
    <w:p w14:paraId="164D6F97">
      <w:pPr>
        <w:tabs>
          <w:tab w:val="left" w:pos="400"/>
          <w:tab w:val="left" w:pos="567"/>
        </w:tabs>
        <w:jc w:val="both"/>
        <w:rPr>
          <w:sz w:val="24"/>
          <w:szCs w:val="24"/>
        </w:rPr>
      </w:pPr>
      <w:r>
        <w:rPr>
          <w:sz w:val="24"/>
          <w:szCs w:val="24"/>
        </w:rPr>
        <w:t xml:space="preserve">       На подраздел «Другие вопросы в области образования» 0709 – в проекте бюджета предусмотрены  на 2026 год   34 027,1тыс. руб. (91,6%  к уровню 2025). Подраздел включает в себя  средства на содержание аппарата, бухгалтерии и информационно-методического кабинета Комитета по социальной политике  на общую  сумму 25 055,2 тыс.руб., а также средства краевого бюджета на администрирование государственных полномочий в области образования, по организации и осуществлению деятельности по опеке и попечительству на сумму3 919,0тыс. руб., единая субвенция местным бюджетам в сумме 46,9 тыс. руб.,</w:t>
      </w:r>
      <w:r>
        <w:t xml:space="preserve"> на </w:t>
      </w:r>
      <w:r>
        <w:rPr>
          <w:sz w:val="24"/>
          <w:szCs w:val="24"/>
        </w:rPr>
        <w:t>обеспечение отдыха, организация и обеспечение оздоровления детей в каникулярное время в муниципальных организациях отдыха детей и их оздоровления в сумме 5 006,0 тыс. рублей.</w:t>
      </w:r>
    </w:p>
    <w:p w14:paraId="33BEA8C2">
      <w:pPr>
        <w:pStyle w:val="8"/>
        <w:shd w:val="clear" w:color="auto" w:fill="auto"/>
        <w:spacing w:before="0" w:after="0" w:line="276" w:lineRule="auto"/>
        <w:ind w:right="20" w:firstLine="567"/>
        <w:jc w:val="both"/>
        <w:rPr>
          <w:rFonts w:ascii="Times New Roman" w:hAnsi="Times New Roman"/>
          <w:sz w:val="24"/>
          <w:szCs w:val="24"/>
        </w:rPr>
      </w:pPr>
    </w:p>
    <w:p w14:paraId="345CD718">
      <w:pPr>
        <w:pStyle w:val="8"/>
        <w:shd w:val="clear" w:color="auto" w:fill="auto"/>
        <w:spacing w:before="0" w:after="0" w:line="276" w:lineRule="auto"/>
        <w:ind w:left="0" w:leftChars="0" w:right="20" w:firstLine="400" w:firstLineChars="0"/>
        <w:jc w:val="both"/>
        <w:rPr>
          <w:rFonts w:ascii="Times New Roman" w:hAnsi="Times New Roman"/>
          <w:sz w:val="24"/>
          <w:szCs w:val="24"/>
        </w:rPr>
      </w:pPr>
      <w:r>
        <w:rPr>
          <w:rFonts w:ascii="Times New Roman" w:hAnsi="Times New Roman"/>
          <w:sz w:val="24"/>
          <w:szCs w:val="24"/>
        </w:rPr>
        <w:t xml:space="preserve">По разделу </w:t>
      </w:r>
      <w:r>
        <w:rPr>
          <w:rFonts w:ascii="Times New Roman" w:hAnsi="Times New Roman"/>
          <w:b/>
          <w:sz w:val="24"/>
          <w:szCs w:val="24"/>
        </w:rPr>
        <w:t>08 «Культура»</w:t>
      </w:r>
      <w:r>
        <w:rPr>
          <w:rFonts w:ascii="Times New Roman" w:hAnsi="Times New Roman"/>
          <w:sz w:val="24"/>
          <w:szCs w:val="24"/>
        </w:rPr>
        <w:t>запланировано  в бюджете 51 302,7тыс. руб. (77,9% к 2025г).  Включает в себя  суммы субсидий на выполнение муниципальных заданий учреждений культуры: МУК Социально-культурный центр, МУК Краеведческий музей, МУК ДМЦР Библиотека.</w:t>
      </w:r>
    </w:p>
    <w:p w14:paraId="68B48B88">
      <w:pPr>
        <w:pStyle w:val="8"/>
        <w:shd w:val="clear" w:color="auto" w:fill="auto"/>
        <w:spacing w:before="0" w:after="0" w:line="276" w:lineRule="auto"/>
        <w:ind w:right="20" w:firstLine="567"/>
        <w:jc w:val="both"/>
        <w:rPr>
          <w:rFonts w:ascii="Times New Roman" w:hAnsi="Times New Roman"/>
          <w:sz w:val="24"/>
          <w:szCs w:val="24"/>
        </w:rPr>
      </w:pPr>
    </w:p>
    <w:p w14:paraId="7159DC1C">
      <w:pPr>
        <w:pStyle w:val="8"/>
        <w:shd w:val="clear" w:color="auto" w:fill="auto"/>
        <w:spacing w:before="0" w:after="0" w:line="276" w:lineRule="auto"/>
        <w:ind w:left="0" w:leftChars="0" w:right="20" w:firstLine="400" w:firstLineChars="0"/>
        <w:jc w:val="both"/>
        <w:rPr>
          <w:rFonts w:ascii="Times New Roman" w:hAnsi="Times New Roman"/>
          <w:sz w:val="24"/>
          <w:szCs w:val="24"/>
        </w:rPr>
      </w:pPr>
      <w:r>
        <w:rPr>
          <w:rFonts w:ascii="Times New Roman" w:hAnsi="Times New Roman"/>
          <w:sz w:val="24"/>
          <w:szCs w:val="24"/>
        </w:rPr>
        <w:t xml:space="preserve">Бюджетные ассигнования на раздел </w:t>
      </w:r>
      <w:r>
        <w:rPr>
          <w:rFonts w:ascii="Times New Roman" w:hAnsi="Times New Roman"/>
          <w:b/>
          <w:sz w:val="24"/>
          <w:szCs w:val="24"/>
        </w:rPr>
        <w:t xml:space="preserve">10 «Социальная политика» </w:t>
      </w:r>
      <w:r>
        <w:rPr>
          <w:rFonts w:ascii="Times New Roman" w:hAnsi="Times New Roman"/>
          <w:sz w:val="24"/>
          <w:szCs w:val="24"/>
        </w:rPr>
        <w:t xml:space="preserve">в проекте на 2026 год заложены в сумме 24 055,2 тыс. руб., (80,0 % к уровню 2025г, снижение на </w:t>
      </w:r>
    </w:p>
    <w:p w14:paraId="1F5E1A1B">
      <w:pPr>
        <w:pStyle w:val="8"/>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6 013,1тыс. руб.), в том числе:</w:t>
      </w:r>
    </w:p>
    <w:p w14:paraId="781C4211">
      <w:pPr>
        <w:widowControl/>
        <w:numPr>
          <w:ilvl w:val="0"/>
          <w:numId w:val="12"/>
        </w:numPr>
        <w:autoSpaceDE/>
        <w:autoSpaceDN/>
        <w:adjustRightInd/>
        <w:jc w:val="both"/>
        <w:rPr>
          <w:sz w:val="24"/>
          <w:szCs w:val="24"/>
        </w:rPr>
      </w:pPr>
      <w:r>
        <w:rPr>
          <w:sz w:val="24"/>
          <w:szCs w:val="24"/>
        </w:rPr>
        <w:t xml:space="preserve">4 444,5 тыс. рублей на дополнительное пенсионное обеспечение </w:t>
      </w:r>
    </w:p>
    <w:p w14:paraId="6F1F7238">
      <w:pPr>
        <w:widowControl/>
        <w:numPr>
          <w:ilvl w:val="0"/>
          <w:numId w:val="12"/>
        </w:numPr>
        <w:autoSpaceDE/>
        <w:autoSpaceDN/>
        <w:adjustRightInd/>
        <w:jc w:val="both"/>
        <w:rPr>
          <w:sz w:val="24"/>
          <w:szCs w:val="24"/>
        </w:rPr>
      </w:pPr>
      <w:r>
        <w:rPr>
          <w:sz w:val="24"/>
          <w:szCs w:val="24"/>
        </w:rPr>
        <w:t xml:space="preserve">571,4 тыс. рублей на реализацию мероприятий по проведению капитального ремонта жилых помещений отдельных категорий граждан </w:t>
      </w:r>
    </w:p>
    <w:p w14:paraId="246DCBDA">
      <w:pPr>
        <w:pStyle w:val="8"/>
        <w:numPr>
          <w:ilvl w:val="0"/>
          <w:numId w:val="12"/>
        </w:numPr>
        <w:shd w:val="clear" w:color="auto" w:fill="auto"/>
        <w:spacing w:before="0" w:after="0" w:line="276" w:lineRule="auto"/>
        <w:ind w:right="20"/>
        <w:jc w:val="both"/>
        <w:rPr>
          <w:rFonts w:ascii="Times New Roman" w:hAnsi="Times New Roman"/>
          <w:sz w:val="24"/>
          <w:szCs w:val="24"/>
        </w:rPr>
      </w:pPr>
      <w:r>
        <w:rPr>
          <w:rFonts w:ascii="Times New Roman" w:hAnsi="Times New Roman"/>
          <w:sz w:val="24"/>
          <w:szCs w:val="24"/>
        </w:rPr>
        <w:t>18 127,2 тыс. рублей по подразделу «Охрана семьи и детства» из краевого бюджета(65,6% к 2025г)</w:t>
      </w:r>
    </w:p>
    <w:p w14:paraId="23322744">
      <w:pPr>
        <w:pStyle w:val="8"/>
        <w:shd w:val="clear" w:color="auto" w:fill="auto"/>
        <w:spacing w:before="0" w:after="0" w:line="276" w:lineRule="auto"/>
        <w:ind w:right="20"/>
        <w:jc w:val="both"/>
        <w:rPr>
          <w:rFonts w:ascii="Times New Roman" w:hAnsi="Times New Roman"/>
          <w:sz w:val="24"/>
          <w:szCs w:val="24"/>
        </w:rPr>
      </w:pPr>
    </w:p>
    <w:p w14:paraId="5619109A">
      <w:pPr>
        <w:pStyle w:val="8"/>
        <w:shd w:val="clear" w:color="auto" w:fill="auto"/>
        <w:spacing w:before="0" w:after="0" w:line="276" w:lineRule="auto"/>
        <w:ind w:left="0" w:leftChars="0" w:right="20" w:firstLine="400" w:firstLineChars="0"/>
        <w:jc w:val="both"/>
        <w:rPr>
          <w:rFonts w:ascii="Times New Roman" w:hAnsi="Times New Roman"/>
          <w:sz w:val="24"/>
          <w:szCs w:val="24"/>
        </w:rPr>
      </w:pPr>
      <w:r>
        <w:rPr>
          <w:rFonts w:ascii="Times New Roman" w:hAnsi="Times New Roman"/>
          <w:sz w:val="24"/>
          <w:szCs w:val="24"/>
        </w:rPr>
        <w:t xml:space="preserve">На раздел </w:t>
      </w:r>
      <w:r>
        <w:rPr>
          <w:rFonts w:ascii="Times New Roman" w:hAnsi="Times New Roman"/>
          <w:b/>
          <w:sz w:val="24"/>
          <w:szCs w:val="24"/>
        </w:rPr>
        <w:t>11«Физическая культура и спорт»</w:t>
      </w:r>
      <w:r>
        <w:rPr>
          <w:rFonts w:ascii="Times New Roman" w:hAnsi="Times New Roman"/>
          <w:sz w:val="24"/>
          <w:szCs w:val="24"/>
        </w:rPr>
        <w:t xml:space="preserve"> предусмотрено 19 021,6 тыс. рублей субсидия  на выполнение муниципального задания МУ Дом спорта «Иля». </w:t>
      </w:r>
    </w:p>
    <w:p w14:paraId="1A9EC6EE">
      <w:pPr>
        <w:pStyle w:val="8"/>
        <w:shd w:val="clear" w:color="auto" w:fill="auto"/>
        <w:spacing w:before="0" w:after="0" w:line="276" w:lineRule="auto"/>
        <w:ind w:right="20" w:firstLine="567"/>
        <w:jc w:val="both"/>
        <w:rPr>
          <w:rFonts w:ascii="Times New Roman" w:hAnsi="Times New Roman"/>
          <w:sz w:val="24"/>
          <w:szCs w:val="24"/>
        </w:rPr>
      </w:pPr>
    </w:p>
    <w:p w14:paraId="584249EA">
      <w:pPr>
        <w:pStyle w:val="8"/>
        <w:shd w:val="clear" w:color="auto" w:fill="auto"/>
        <w:spacing w:before="0" w:after="0" w:line="276" w:lineRule="auto"/>
        <w:ind w:right="20" w:firstLine="567"/>
        <w:jc w:val="both"/>
        <w:rPr>
          <w:rFonts w:ascii="Times New Roman" w:hAnsi="Times New Roman"/>
          <w:sz w:val="24"/>
          <w:szCs w:val="24"/>
        </w:rPr>
      </w:pPr>
      <w:r>
        <w:rPr>
          <w:rFonts w:ascii="Times New Roman" w:hAnsi="Times New Roman"/>
          <w:sz w:val="24"/>
          <w:szCs w:val="24"/>
        </w:rPr>
        <w:t xml:space="preserve">По разделу </w:t>
      </w:r>
      <w:r>
        <w:rPr>
          <w:rFonts w:ascii="Times New Roman" w:hAnsi="Times New Roman"/>
          <w:b/>
          <w:sz w:val="24"/>
          <w:szCs w:val="24"/>
        </w:rPr>
        <w:t>13«Обслуживание государственного и муниципального долга»</w:t>
      </w:r>
      <w:r>
        <w:rPr>
          <w:rFonts w:ascii="Times New Roman" w:hAnsi="Times New Roman"/>
          <w:sz w:val="24"/>
          <w:szCs w:val="24"/>
        </w:rPr>
        <w:t xml:space="preserve">   запланирована уплата  процентов по бюджетным кредитам с бюджета Забайкальского края в сумме 2,6 тыс. рублей.</w:t>
      </w:r>
    </w:p>
    <w:p w14:paraId="021A6B5B">
      <w:pPr>
        <w:pStyle w:val="8"/>
        <w:shd w:val="clear" w:color="auto" w:fill="auto"/>
        <w:spacing w:before="0" w:after="0" w:line="276" w:lineRule="auto"/>
        <w:ind w:right="20" w:firstLine="567"/>
        <w:jc w:val="both"/>
        <w:rPr>
          <w:rFonts w:ascii="Times New Roman" w:hAnsi="Times New Roman"/>
          <w:b/>
          <w:sz w:val="24"/>
          <w:szCs w:val="24"/>
        </w:rPr>
      </w:pPr>
    </w:p>
    <w:p w14:paraId="4A953143">
      <w:pPr>
        <w:pStyle w:val="8"/>
        <w:shd w:val="clear" w:color="auto" w:fill="auto"/>
        <w:spacing w:before="0" w:after="0" w:line="276" w:lineRule="auto"/>
        <w:ind w:right="20" w:firstLine="567"/>
        <w:jc w:val="both"/>
        <w:rPr>
          <w:rFonts w:ascii="Times New Roman" w:hAnsi="Times New Roman"/>
          <w:sz w:val="24"/>
          <w:szCs w:val="24"/>
        </w:rPr>
      </w:pPr>
      <w:r>
        <w:rPr>
          <w:rFonts w:ascii="Times New Roman" w:hAnsi="Times New Roman"/>
          <w:b/>
          <w:sz w:val="24"/>
          <w:szCs w:val="24"/>
        </w:rPr>
        <w:t>Приложением № 6</w:t>
      </w:r>
      <w:r>
        <w:rPr>
          <w:rFonts w:ascii="Times New Roman" w:hAnsi="Times New Roman"/>
          <w:sz w:val="24"/>
          <w:szCs w:val="24"/>
        </w:rPr>
        <w:t xml:space="preserve"> к Проекту бюджета представлена </w:t>
      </w:r>
      <w:r>
        <w:rPr>
          <w:rFonts w:ascii="Times New Roman" w:hAnsi="Times New Roman"/>
          <w:b/>
          <w:sz w:val="24"/>
          <w:szCs w:val="24"/>
        </w:rPr>
        <w:t xml:space="preserve">ведомственная структура расходов </w:t>
      </w:r>
      <w:r>
        <w:rPr>
          <w:rFonts w:ascii="Times New Roman" w:hAnsi="Times New Roman"/>
          <w:sz w:val="24"/>
          <w:szCs w:val="24"/>
        </w:rPr>
        <w:t xml:space="preserve">проекта бюджета муниципального </w:t>
      </w:r>
      <w:r>
        <w:rPr>
          <w:rFonts w:ascii="Times New Roman" w:hAnsi="Times New Roman"/>
          <w:sz w:val="24"/>
          <w:szCs w:val="24"/>
          <w:lang w:val="ru-RU"/>
        </w:rPr>
        <w:t>округа</w:t>
      </w:r>
      <w:r>
        <w:rPr>
          <w:rFonts w:ascii="Times New Roman" w:hAnsi="Times New Roman"/>
          <w:sz w:val="24"/>
          <w:szCs w:val="24"/>
        </w:rPr>
        <w:t xml:space="preserve"> на 2026 год. </w:t>
      </w:r>
    </w:p>
    <w:p w14:paraId="588FC1D0">
      <w:pPr>
        <w:pStyle w:val="8"/>
        <w:shd w:val="clear" w:color="auto" w:fill="auto"/>
        <w:spacing w:before="0" w:after="0" w:line="276" w:lineRule="auto"/>
        <w:ind w:right="20" w:firstLine="567"/>
        <w:jc w:val="both"/>
        <w:rPr>
          <w:rFonts w:ascii="Times New Roman" w:hAnsi="Times New Roman"/>
          <w:sz w:val="24"/>
          <w:szCs w:val="24"/>
          <w:highlight w:val="none"/>
        </w:rPr>
      </w:pPr>
      <w:r>
        <w:rPr>
          <w:rFonts w:ascii="Times New Roman" w:hAnsi="Times New Roman"/>
          <w:sz w:val="24"/>
          <w:szCs w:val="24"/>
          <w:highlight w:val="none"/>
        </w:rPr>
        <w:t xml:space="preserve">Анализ распределения расходов бюджета в разрезе главных распорядителей бюджетных средств представлен в диаграмме 4.3.  </w:t>
      </w:r>
    </w:p>
    <w:p w14:paraId="5B299B21">
      <w:pPr>
        <w:pStyle w:val="8"/>
        <w:shd w:val="clear" w:color="auto" w:fill="auto"/>
        <w:spacing w:before="0" w:after="0" w:line="276" w:lineRule="auto"/>
        <w:ind w:right="20" w:firstLine="567"/>
        <w:jc w:val="both"/>
        <w:rPr>
          <w:rFonts w:ascii="Times New Roman" w:hAnsi="Times New Roman"/>
          <w:sz w:val="24"/>
          <w:szCs w:val="24"/>
        </w:rPr>
      </w:pPr>
    </w:p>
    <w:p w14:paraId="3049EC04">
      <w:pPr>
        <w:pStyle w:val="8"/>
        <w:shd w:val="clear" w:color="auto" w:fill="auto"/>
        <w:spacing w:before="0" w:after="0" w:line="276" w:lineRule="auto"/>
        <w:ind w:right="20" w:firstLine="567"/>
        <w:jc w:val="both"/>
        <w:rPr>
          <w:rFonts w:ascii="Times New Roman" w:hAnsi="Times New Roman"/>
          <w:sz w:val="24"/>
          <w:szCs w:val="24"/>
        </w:rPr>
      </w:pPr>
      <w:r>
        <w:rPr>
          <w:rFonts w:ascii="Times New Roman" w:hAnsi="Times New Roman"/>
          <w:sz w:val="24"/>
          <w:szCs w:val="24"/>
        </w:rPr>
        <w:t>Диаграмма 4.3. Распределение бюджетных средств по ведомственной структуре расходов бюджета Дульдургинск</w:t>
      </w:r>
      <w:r>
        <w:rPr>
          <w:rFonts w:ascii="Times New Roman" w:hAnsi="Times New Roman"/>
          <w:sz w:val="24"/>
          <w:szCs w:val="24"/>
          <w:lang w:val="ru-RU"/>
        </w:rPr>
        <w:t>ого</w:t>
      </w:r>
      <w:r>
        <w:rPr>
          <w:rFonts w:hint="default" w:ascii="Times New Roman" w:hAnsi="Times New Roman"/>
          <w:sz w:val="24"/>
          <w:szCs w:val="24"/>
          <w:lang w:val="ru-RU"/>
        </w:rPr>
        <w:t xml:space="preserve"> муниципального округа</w:t>
      </w:r>
      <w:r>
        <w:rPr>
          <w:rFonts w:ascii="Times New Roman" w:hAnsi="Times New Roman"/>
          <w:sz w:val="24"/>
          <w:szCs w:val="24"/>
        </w:rPr>
        <w:t xml:space="preserve"> на 2026 г.</w:t>
      </w:r>
    </w:p>
    <w:p w14:paraId="1EF02AF3">
      <w:pPr>
        <w:pStyle w:val="8"/>
        <w:shd w:val="clear" w:color="auto" w:fill="auto"/>
        <w:spacing w:before="0" w:after="0" w:line="276" w:lineRule="auto"/>
        <w:ind w:right="20" w:firstLine="567"/>
        <w:jc w:val="both"/>
        <w:rPr>
          <w:rFonts w:ascii="Times New Roman" w:hAnsi="Times New Roman"/>
          <w:sz w:val="24"/>
          <w:szCs w:val="24"/>
        </w:rPr>
      </w:pPr>
      <w:r>
        <w:drawing>
          <wp:inline distT="0" distB="0" distL="114300" distR="114300">
            <wp:extent cx="5848985" cy="2211070"/>
            <wp:effectExtent l="0" t="0" r="18415" b="17780"/>
            <wp:docPr id="8"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2"/>
                    <pic:cNvPicPr>
                      <a:picLocks noChangeAspect="1"/>
                    </pic:cNvPicPr>
                  </pic:nvPicPr>
                  <pic:blipFill>
                    <a:blip r:embed="rId10"/>
                    <a:stretch>
                      <a:fillRect/>
                    </a:stretch>
                  </pic:blipFill>
                  <pic:spPr>
                    <a:xfrm>
                      <a:off x="0" y="0"/>
                      <a:ext cx="5848985" cy="2211070"/>
                    </a:xfrm>
                    <a:prstGeom prst="rect">
                      <a:avLst/>
                    </a:prstGeom>
                    <a:noFill/>
                    <a:ln>
                      <a:noFill/>
                    </a:ln>
                  </pic:spPr>
                </pic:pic>
              </a:graphicData>
            </a:graphic>
          </wp:inline>
        </w:drawing>
      </w:r>
    </w:p>
    <w:p w14:paraId="1F5E8961">
      <w:pPr>
        <w:pStyle w:val="8"/>
        <w:shd w:val="clear" w:color="auto" w:fill="auto"/>
        <w:spacing w:before="0" w:after="0" w:line="276" w:lineRule="auto"/>
        <w:ind w:right="20" w:firstLine="567"/>
        <w:jc w:val="both"/>
        <w:rPr>
          <w:rFonts w:ascii="Times New Roman" w:hAnsi="Times New Roman"/>
          <w:sz w:val="24"/>
          <w:szCs w:val="24"/>
        </w:rPr>
      </w:pPr>
      <w:r>
        <w:rPr>
          <w:rFonts w:ascii="Times New Roman" w:hAnsi="Times New Roman"/>
          <w:sz w:val="24"/>
          <w:szCs w:val="24"/>
        </w:rPr>
        <w:t xml:space="preserve">В разрезе распорядителей бюджетных средств на 2026 год наибольший удельный вес расходов в их общем объеме планируется на финансирование Комитета по социальной политике администрации муниципального </w:t>
      </w:r>
      <w:r>
        <w:rPr>
          <w:rFonts w:ascii="Times New Roman" w:hAnsi="Times New Roman"/>
          <w:sz w:val="24"/>
          <w:szCs w:val="24"/>
          <w:lang w:val="ru-RU"/>
        </w:rPr>
        <w:t>округа</w:t>
      </w:r>
      <w:r>
        <w:rPr>
          <w:rFonts w:ascii="Times New Roman" w:hAnsi="Times New Roman"/>
          <w:sz w:val="24"/>
          <w:szCs w:val="24"/>
        </w:rPr>
        <w:t xml:space="preserve"> – 7</w:t>
      </w:r>
      <w:r>
        <w:rPr>
          <w:rFonts w:hint="default" w:ascii="Times New Roman" w:hAnsi="Times New Roman"/>
          <w:sz w:val="24"/>
          <w:szCs w:val="24"/>
          <w:lang w:val="ru-RU"/>
        </w:rPr>
        <w:t>4,3</w:t>
      </w:r>
      <w:r>
        <w:rPr>
          <w:rFonts w:ascii="Times New Roman" w:hAnsi="Times New Roman"/>
          <w:sz w:val="24"/>
          <w:szCs w:val="24"/>
        </w:rPr>
        <w:t xml:space="preserve">%, в объеме </w:t>
      </w:r>
    </w:p>
    <w:p w14:paraId="1B0F8397">
      <w:pPr>
        <w:pStyle w:val="8"/>
        <w:shd w:val="clear" w:color="auto" w:fill="auto"/>
        <w:spacing w:before="0" w:after="0" w:line="276" w:lineRule="auto"/>
        <w:ind w:right="20"/>
        <w:jc w:val="both"/>
        <w:rPr>
          <w:rFonts w:ascii="Times New Roman" w:hAnsi="Times New Roman"/>
          <w:i/>
          <w:sz w:val="24"/>
          <w:szCs w:val="24"/>
        </w:rPr>
      </w:pPr>
      <w:r>
        <w:rPr>
          <w:rFonts w:hint="default" w:ascii="Times New Roman" w:hAnsi="Times New Roman"/>
          <w:sz w:val="24"/>
          <w:szCs w:val="24"/>
          <w:lang w:val="ru-RU"/>
        </w:rPr>
        <w:t>838 165,1</w:t>
      </w:r>
      <w:r>
        <w:rPr>
          <w:rFonts w:ascii="Times New Roman" w:hAnsi="Times New Roman"/>
          <w:sz w:val="24"/>
          <w:szCs w:val="24"/>
        </w:rPr>
        <w:t xml:space="preserve"> тыс. рублей,</w:t>
      </w:r>
    </w:p>
    <w:p w14:paraId="3D37F3A6">
      <w:pPr>
        <w:pStyle w:val="8"/>
        <w:shd w:val="clear" w:color="auto" w:fill="auto"/>
        <w:spacing w:before="0" w:after="0" w:line="276" w:lineRule="auto"/>
        <w:ind w:right="20" w:firstLine="567"/>
        <w:jc w:val="both"/>
        <w:rPr>
          <w:rFonts w:hint="default" w:ascii="Times New Roman" w:hAnsi="Times New Roman"/>
          <w:sz w:val="24"/>
          <w:szCs w:val="24"/>
          <w:lang w:val="ru-RU"/>
        </w:rPr>
      </w:pPr>
      <w:r>
        <w:rPr>
          <w:rFonts w:ascii="Times New Roman" w:hAnsi="Times New Roman"/>
          <w:sz w:val="24"/>
          <w:szCs w:val="24"/>
        </w:rPr>
        <w:t xml:space="preserve"> На долю Комитета по финансам </w:t>
      </w:r>
      <w:r>
        <w:rPr>
          <w:rFonts w:ascii="Times New Roman" w:hAnsi="Times New Roman"/>
          <w:sz w:val="24"/>
          <w:szCs w:val="24"/>
          <w:lang w:val="ru-RU"/>
        </w:rPr>
        <w:t>придётся</w:t>
      </w:r>
      <w:r>
        <w:rPr>
          <w:rFonts w:ascii="Times New Roman" w:hAnsi="Times New Roman"/>
          <w:sz w:val="24"/>
          <w:szCs w:val="24"/>
        </w:rPr>
        <w:t xml:space="preserve"> </w:t>
      </w:r>
      <w:r>
        <w:rPr>
          <w:rFonts w:hint="default" w:ascii="Times New Roman" w:hAnsi="Times New Roman"/>
          <w:sz w:val="24"/>
          <w:szCs w:val="24"/>
          <w:lang w:val="ru-RU"/>
        </w:rPr>
        <w:t>0,6</w:t>
      </w:r>
      <w:r>
        <w:rPr>
          <w:rFonts w:ascii="Times New Roman" w:hAnsi="Times New Roman"/>
          <w:sz w:val="24"/>
          <w:szCs w:val="24"/>
        </w:rPr>
        <w:t xml:space="preserve">% </w:t>
      </w:r>
      <w:r>
        <w:rPr>
          <w:rFonts w:hint="default" w:ascii="Times New Roman" w:hAnsi="Times New Roman"/>
          <w:sz w:val="24"/>
          <w:szCs w:val="24"/>
          <w:lang w:val="ru-RU"/>
        </w:rPr>
        <w:t xml:space="preserve"> </w:t>
      </w:r>
      <w:r>
        <w:rPr>
          <w:rFonts w:ascii="Times New Roman" w:hAnsi="Times New Roman"/>
          <w:sz w:val="24"/>
          <w:szCs w:val="24"/>
        </w:rPr>
        <w:t xml:space="preserve">бюджета или </w:t>
      </w:r>
      <w:r>
        <w:rPr>
          <w:rFonts w:hint="default" w:ascii="Times New Roman" w:hAnsi="Times New Roman"/>
          <w:sz w:val="24"/>
          <w:szCs w:val="24"/>
          <w:lang w:val="ru-RU"/>
        </w:rPr>
        <w:t>7 232,9</w:t>
      </w:r>
      <w:r>
        <w:rPr>
          <w:rFonts w:ascii="Times New Roman" w:hAnsi="Times New Roman"/>
          <w:sz w:val="24"/>
          <w:szCs w:val="24"/>
        </w:rPr>
        <w:t xml:space="preserve"> тыс. руб.,    М</w:t>
      </w:r>
      <w:r>
        <w:rPr>
          <w:rFonts w:ascii="Times New Roman" w:hAnsi="Times New Roman"/>
          <w:sz w:val="24"/>
          <w:szCs w:val="24"/>
          <w:lang w:val="ru-RU"/>
        </w:rPr>
        <w:t>А</w:t>
      </w:r>
      <w:r>
        <w:rPr>
          <w:rFonts w:ascii="Times New Roman" w:hAnsi="Times New Roman"/>
          <w:sz w:val="24"/>
          <w:szCs w:val="24"/>
        </w:rPr>
        <w:t xml:space="preserve">У Дом спорта «Иля» </w:t>
      </w:r>
      <w:r>
        <w:rPr>
          <w:rFonts w:hint="default" w:ascii="Times New Roman" w:hAnsi="Times New Roman"/>
          <w:sz w:val="24"/>
          <w:szCs w:val="24"/>
          <w:lang w:val="ru-RU"/>
        </w:rPr>
        <w:t>19 021,6</w:t>
      </w:r>
      <w:r>
        <w:rPr>
          <w:rFonts w:ascii="Times New Roman" w:hAnsi="Times New Roman"/>
          <w:sz w:val="24"/>
          <w:szCs w:val="24"/>
        </w:rPr>
        <w:t xml:space="preserve"> тыс. </w:t>
      </w:r>
      <w:r>
        <w:rPr>
          <w:rFonts w:ascii="Times New Roman" w:hAnsi="Times New Roman"/>
          <w:sz w:val="24"/>
          <w:szCs w:val="24"/>
          <w:lang w:val="ru-RU"/>
        </w:rPr>
        <w:t>р</w:t>
      </w:r>
      <w:r>
        <w:rPr>
          <w:rFonts w:ascii="Times New Roman" w:hAnsi="Times New Roman"/>
          <w:sz w:val="24"/>
          <w:szCs w:val="24"/>
        </w:rPr>
        <w:t>уб</w:t>
      </w:r>
      <w:r>
        <w:rPr>
          <w:rFonts w:hint="default" w:ascii="Times New Roman" w:hAnsi="Times New Roman"/>
          <w:sz w:val="24"/>
          <w:szCs w:val="24"/>
          <w:lang w:val="ru-RU"/>
        </w:rPr>
        <w:t>.или 1,7%.</w:t>
      </w:r>
    </w:p>
    <w:p w14:paraId="268AFF33">
      <w:pPr>
        <w:pStyle w:val="8"/>
        <w:shd w:val="clear" w:color="auto" w:fill="auto"/>
        <w:spacing w:before="0" w:after="0" w:line="276" w:lineRule="auto"/>
        <w:ind w:right="20" w:firstLine="567"/>
        <w:jc w:val="both"/>
        <w:rPr>
          <w:rFonts w:ascii="Times New Roman" w:hAnsi="Times New Roman"/>
          <w:sz w:val="24"/>
          <w:szCs w:val="24"/>
        </w:rPr>
      </w:pPr>
      <w:r>
        <w:rPr>
          <w:rFonts w:ascii="Times New Roman" w:hAnsi="Times New Roman"/>
          <w:sz w:val="24"/>
          <w:szCs w:val="24"/>
        </w:rPr>
        <w:t xml:space="preserve">К распределению бюджетных средств через администрацию  муниципального района запланировано </w:t>
      </w:r>
      <w:r>
        <w:rPr>
          <w:rFonts w:hint="default" w:ascii="Times New Roman" w:hAnsi="Times New Roman"/>
          <w:sz w:val="24"/>
          <w:szCs w:val="24"/>
          <w:lang w:val="ru-RU"/>
        </w:rPr>
        <w:t>10,1</w:t>
      </w:r>
      <w:r>
        <w:rPr>
          <w:rFonts w:ascii="Times New Roman" w:hAnsi="Times New Roman"/>
          <w:sz w:val="24"/>
          <w:szCs w:val="24"/>
        </w:rPr>
        <w:t xml:space="preserve">% или </w:t>
      </w:r>
      <w:r>
        <w:rPr>
          <w:rFonts w:hint="default" w:ascii="Times New Roman" w:hAnsi="Times New Roman"/>
          <w:sz w:val="24"/>
          <w:szCs w:val="24"/>
          <w:lang w:val="ru-RU"/>
        </w:rPr>
        <w:t>114 044,1</w:t>
      </w:r>
      <w:r>
        <w:rPr>
          <w:rFonts w:ascii="Times New Roman" w:hAnsi="Times New Roman"/>
          <w:sz w:val="24"/>
          <w:szCs w:val="24"/>
        </w:rPr>
        <w:t xml:space="preserve"> тыс. рублей. Это содержание Главы муниципального </w:t>
      </w:r>
      <w:r>
        <w:rPr>
          <w:rFonts w:ascii="Times New Roman" w:hAnsi="Times New Roman"/>
          <w:sz w:val="24"/>
          <w:szCs w:val="24"/>
          <w:lang w:val="ru-RU"/>
        </w:rPr>
        <w:t>округа</w:t>
      </w:r>
      <w:r>
        <w:rPr>
          <w:rFonts w:ascii="Times New Roman" w:hAnsi="Times New Roman"/>
          <w:sz w:val="24"/>
          <w:szCs w:val="24"/>
        </w:rPr>
        <w:t>, местной администрации, средства по мероприятиям по защите населения и территории от последствий чрезвычайных ситуаций природного и техногенного характера,  средства Дорожного Фонда МР, средства резервного фонда.</w:t>
      </w:r>
    </w:p>
    <w:p w14:paraId="6B42E0D0">
      <w:pPr>
        <w:pStyle w:val="25"/>
        <w:keepNext/>
        <w:keepLines/>
        <w:shd w:val="clear" w:color="auto" w:fill="auto"/>
        <w:spacing w:before="0" w:after="0" w:line="240" w:lineRule="auto"/>
        <w:ind w:right="357" w:firstLine="0"/>
        <w:jc w:val="both"/>
        <w:rPr>
          <w:rFonts w:ascii="Times New Roman" w:hAnsi="Times New Roman"/>
          <w:b w:val="0"/>
          <w:bCs w:val="0"/>
          <w:sz w:val="24"/>
          <w:szCs w:val="24"/>
        </w:rPr>
      </w:pPr>
      <w:r>
        <w:rPr>
          <w:rFonts w:hint="default" w:ascii="Times New Roman" w:hAnsi="Times New Roman"/>
          <w:sz w:val="24"/>
          <w:szCs w:val="24"/>
          <w:lang w:val="ru-RU"/>
        </w:rPr>
        <w:t xml:space="preserve"> </w:t>
      </w:r>
      <w:r>
        <w:rPr>
          <w:rFonts w:ascii="Times New Roman" w:hAnsi="Times New Roman"/>
          <w:b w:val="0"/>
          <w:bCs w:val="0"/>
          <w:sz w:val="24"/>
          <w:szCs w:val="24"/>
        </w:rPr>
        <w:t>В ведении остальных распорядителей бюджетных средств (МАУ ЦАМ</w:t>
      </w:r>
      <w:r>
        <w:rPr>
          <w:rFonts w:ascii="Times New Roman" w:hAnsi="Times New Roman"/>
          <w:b w:val="0"/>
          <w:bCs w:val="0"/>
          <w:sz w:val="24"/>
          <w:szCs w:val="24"/>
          <w:lang w:val="ru-RU"/>
        </w:rPr>
        <w:t>Т</w:t>
      </w:r>
      <w:r>
        <w:rPr>
          <w:rFonts w:ascii="Times New Roman" w:hAnsi="Times New Roman"/>
          <w:b w:val="0"/>
          <w:bCs w:val="0"/>
          <w:sz w:val="24"/>
          <w:szCs w:val="24"/>
        </w:rPr>
        <w:t>О,  Управление сельского хозяйства, КСП, Совет МР) будут находится средства на содержание и функционирование этих подразделений</w:t>
      </w:r>
      <w:r>
        <w:rPr>
          <w:rFonts w:hint="default" w:ascii="Times New Roman" w:hAnsi="Times New Roman"/>
          <w:b w:val="0"/>
          <w:bCs w:val="0"/>
          <w:sz w:val="24"/>
          <w:szCs w:val="24"/>
          <w:lang w:val="ru-RU"/>
        </w:rPr>
        <w:t>.</w:t>
      </w:r>
      <w:r>
        <w:rPr>
          <w:rFonts w:ascii="Times New Roman" w:hAnsi="Times New Roman"/>
          <w:b w:val="0"/>
          <w:bCs w:val="0"/>
          <w:sz w:val="24"/>
          <w:szCs w:val="24"/>
        </w:rPr>
        <w:t xml:space="preserve"> </w:t>
      </w:r>
    </w:p>
    <w:p w14:paraId="295C120C">
      <w:pPr>
        <w:pStyle w:val="25"/>
        <w:keepNext/>
        <w:keepLines/>
        <w:shd w:val="clear" w:color="auto" w:fill="auto"/>
        <w:spacing w:before="0" w:after="0" w:line="240" w:lineRule="auto"/>
        <w:ind w:right="357" w:firstLine="0"/>
        <w:jc w:val="both"/>
        <w:rPr>
          <w:rFonts w:ascii="Times New Roman" w:hAnsi="Times New Roman"/>
          <w:sz w:val="24"/>
          <w:szCs w:val="24"/>
        </w:rPr>
      </w:pPr>
    </w:p>
    <w:p w14:paraId="32F2C463">
      <w:pPr>
        <w:pStyle w:val="25"/>
        <w:keepNext/>
        <w:keepLines/>
        <w:shd w:val="clear" w:color="auto" w:fill="auto"/>
        <w:spacing w:before="0" w:after="0" w:line="240" w:lineRule="auto"/>
        <w:ind w:left="0" w:leftChars="0" w:right="357" w:firstLine="399" w:firstLineChars="166"/>
        <w:jc w:val="both"/>
        <w:rPr>
          <w:rFonts w:ascii="Times New Roman" w:hAnsi="Times New Roman"/>
          <w:sz w:val="24"/>
          <w:szCs w:val="24"/>
        </w:rPr>
      </w:pPr>
      <w:r>
        <w:rPr>
          <w:rFonts w:ascii="Times New Roman" w:hAnsi="Times New Roman"/>
          <w:sz w:val="24"/>
          <w:szCs w:val="24"/>
        </w:rPr>
        <w:t>4.Применение программно-целевого метода планирования расходов бюджета</w:t>
      </w:r>
    </w:p>
    <w:p w14:paraId="53AA9B55">
      <w:pPr>
        <w:pStyle w:val="25"/>
        <w:keepNext/>
        <w:keepLines/>
        <w:shd w:val="clear" w:color="auto" w:fill="auto"/>
        <w:tabs>
          <w:tab w:val="left" w:pos="400"/>
        </w:tabs>
        <w:spacing w:before="0" w:after="0" w:line="240" w:lineRule="auto"/>
        <w:ind w:right="357" w:firstLine="0"/>
        <w:jc w:val="both"/>
        <w:rPr>
          <w:rFonts w:ascii="Times New Roman" w:hAnsi="Times New Roman"/>
          <w:sz w:val="24"/>
        </w:rPr>
      </w:pPr>
      <w:r>
        <w:rPr>
          <w:rFonts w:ascii="Times New Roman" w:hAnsi="Times New Roman"/>
          <w:b w:val="0"/>
          <w:bCs w:val="0"/>
          <w:sz w:val="24"/>
          <w:szCs w:val="24"/>
        </w:rPr>
        <w:t xml:space="preserve">       В  проекте  бюджета Дульдургинского муниципального округа на 2026год и плановый период 2027 и 2028 годов не запланированы средства на реализацию ни одной  муниципальной программы.</w:t>
      </w:r>
    </w:p>
    <w:p w14:paraId="7CCA135B">
      <w:pPr>
        <w:pStyle w:val="8"/>
        <w:shd w:val="clear" w:color="auto" w:fill="auto"/>
        <w:spacing w:before="0" w:after="0" w:line="276" w:lineRule="auto"/>
        <w:ind w:right="20"/>
        <w:jc w:val="both"/>
        <w:rPr>
          <w:rFonts w:ascii="Times New Roman" w:hAnsi="Times New Roman"/>
          <w:sz w:val="24"/>
          <w:szCs w:val="24"/>
        </w:rPr>
      </w:pPr>
    </w:p>
    <w:p w14:paraId="035619B6">
      <w:pPr>
        <w:pStyle w:val="25"/>
        <w:keepNext/>
        <w:keepLines/>
        <w:shd w:val="clear" w:color="auto" w:fill="auto"/>
        <w:spacing w:before="0" w:after="0" w:line="240" w:lineRule="auto"/>
        <w:ind w:left="720" w:leftChars="360" w:right="357" w:firstLine="120" w:firstLineChars="50"/>
        <w:jc w:val="center"/>
        <w:rPr>
          <w:rFonts w:ascii="Times New Roman" w:hAnsi="Times New Roman"/>
          <w:sz w:val="24"/>
        </w:rPr>
      </w:pPr>
      <w:r>
        <w:rPr>
          <w:rFonts w:ascii="Times New Roman" w:hAnsi="Times New Roman"/>
          <w:sz w:val="24"/>
        </w:rPr>
        <w:t>5.Резервный фонд администрации Дульдургинского  муниципального округа</w:t>
      </w:r>
    </w:p>
    <w:p w14:paraId="64A4E94B">
      <w:pPr>
        <w:widowControl/>
        <w:autoSpaceDE/>
        <w:autoSpaceDN/>
        <w:adjustRightInd/>
        <w:spacing w:after="200" w:line="276" w:lineRule="auto"/>
        <w:ind w:firstLine="480" w:firstLineChars="200"/>
        <w:rPr>
          <w:rFonts w:eastAsia="Calibri"/>
          <w:sz w:val="24"/>
          <w:szCs w:val="23"/>
        </w:rPr>
      </w:pPr>
      <w:r>
        <w:rPr>
          <w:rFonts w:eastAsia="Calibri"/>
          <w:sz w:val="24"/>
          <w:szCs w:val="23"/>
        </w:rPr>
        <w:t xml:space="preserve">Проектом бюджета Дульдургинского муниципального округа предусматривается  утвердить Резервный фонд муниципального округа на 2026 год   в сумме  1550,0 тыс. руб., на 2027-2028 годы  по 1 500,0 тыс. рублей соответственно.Размер резервного фонда не превышает ограничений, установленных пунктом 3 статьи 81 Бюджетного кодекса Российской Федерации.  </w:t>
      </w:r>
    </w:p>
    <w:p w14:paraId="285D68BF">
      <w:pPr>
        <w:widowControl/>
        <w:autoSpaceDE/>
        <w:autoSpaceDN/>
        <w:adjustRightInd/>
        <w:spacing w:after="200" w:line="276" w:lineRule="auto"/>
        <w:jc w:val="center"/>
        <w:rPr>
          <w:rFonts w:eastAsia="Calibri"/>
          <w:b/>
          <w:bCs/>
          <w:sz w:val="24"/>
          <w:szCs w:val="23"/>
        </w:rPr>
      </w:pPr>
      <w:r>
        <w:rPr>
          <w:rFonts w:hint="default" w:eastAsia="Calibri"/>
          <w:b/>
          <w:bCs/>
          <w:sz w:val="24"/>
          <w:szCs w:val="23"/>
          <w:lang w:val="ru-RU"/>
        </w:rPr>
        <w:t xml:space="preserve">            </w:t>
      </w:r>
      <w:r>
        <w:rPr>
          <w:rFonts w:eastAsia="Calibri"/>
          <w:b/>
          <w:bCs/>
          <w:sz w:val="24"/>
          <w:szCs w:val="23"/>
        </w:rPr>
        <w:t>6.Программа муниципальных внутренних заимствований  Дульдургинского муниципального округа, верхний предел муниципального долга.</w:t>
      </w:r>
    </w:p>
    <w:p w14:paraId="378656F6">
      <w:pPr>
        <w:widowControl/>
        <w:autoSpaceDE/>
        <w:autoSpaceDN/>
        <w:adjustRightInd/>
        <w:spacing w:after="200" w:line="276" w:lineRule="auto"/>
        <w:jc w:val="both"/>
        <w:rPr>
          <w:rFonts w:eastAsia="Calibri"/>
          <w:sz w:val="24"/>
          <w:szCs w:val="23"/>
        </w:rPr>
      </w:pPr>
      <w:r>
        <w:rPr>
          <w:rFonts w:eastAsia="Calibri"/>
          <w:sz w:val="24"/>
          <w:szCs w:val="23"/>
        </w:rPr>
        <w:t xml:space="preserve">            Муниципальный долг муниципального района в 2026 году, согласно  законопроекта составит 1 000,0 тыс. рублей, это завершающее погашение бюджетного кредита, полученного из бюджета Забайкальского края. </w:t>
      </w:r>
    </w:p>
    <w:p w14:paraId="5AD75DD1">
      <w:pPr>
        <w:widowControl/>
        <w:autoSpaceDE/>
        <w:autoSpaceDN/>
        <w:adjustRightInd/>
        <w:spacing w:after="200" w:line="276" w:lineRule="auto"/>
        <w:jc w:val="both"/>
        <w:rPr>
          <w:rFonts w:eastAsia="Calibri"/>
          <w:sz w:val="24"/>
          <w:szCs w:val="23"/>
        </w:rPr>
      </w:pPr>
      <w:r>
        <w:rPr>
          <w:rFonts w:eastAsia="Calibri"/>
          <w:sz w:val="24"/>
          <w:szCs w:val="23"/>
        </w:rPr>
        <w:t xml:space="preserve">           Статьей 9 проекта решения о бюджете на 2024 г. и плановый период 2025 и 2026 годов   предлагается утвердить программу муниципальных внутренних заимствований района на 2026 год и плановый период 2027 и 2028 годов.    Объем средств, направляемых на погашение основной суммы бюджетного кредита, спрогнозирован в сумме 1 000,0 тыс. рублей на 2026 год.</w:t>
      </w:r>
    </w:p>
    <w:p w14:paraId="133709E6">
      <w:pPr>
        <w:widowControl/>
        <w:autoSpaceDE/>
        <w:autoSpaceDN/>
        <w:adjustRightInd/>
        <w:spacing w:after="200" w:line="276" w:lineRule="auto"/>
        <w:jc w:val="center"/>
        <w:rPr>
          <w:rFonts w:eastAsia="Calibri"/>
          <w:sz w:val="24"/>
          <w:szCs w:val="23"/>
        </w:rPr>
      </w:pPr>
      <w:r>
        <w:rPr>
          <w:rFonts w:eastAsia="Calibri"/>
          <w:sz w:val="24"/>
          <w:szCs w:val="23"/>
        </w:rPr>
        <w:t xml:space="preserve"> Статьей 7 законопроекта установлен верхний предел государственного долга на 1 января 2027 года -50 615 тыс. руб., на 01 января 2027 года -55 861 ,1 тыс. руб., на 1 января 2029 года- 57 089,0 тыс.рублей. не более 5% от общего объема расходов бюджета.</w:t>
      </w:r>
    </w:p>
    <w:p w14:paraId="41837068">
      <w:pPr>
        <w:widowControl/>
        <w:autoSpaceDE/>
        <w:autoSpaceDN/>
        <w:adjustRightInd/>
        <w:spacing w:after="200" w:line="276" w:lineRule="auto"/>
        <w:jc w:val="both"/>
        <w:rPr>
          <w:rFonts w:eastAsia="Calibri"/>
          <w:sz w:val="24"/>
          <w:szCs w:val="23"/>
        </w:rPr>
      </w:pPr>
      <w:r>
        <w:rPr>
          <w:rFonts w:eastAsia="Calibri"/>
          <w:sz w:val="24"/>
          <w:szCs w:val="23"/>
        </w:rPr>
        <w:t xml:space="preserve">       Расходы на обслуживание муниципального долга установлены в проекте бюджета на 2026 год в размере 2,6 тыс. руб., что не превышает предельного объема расходов на обслуживание муниципального долга установленного статьей  107 Бюджетного кодекса РФ. </w:t>
      </w:r>
    </w:p>
    <w:p w14:paraId="6A7C13EE">
      <w:pPr>
        <w:widowControl/>
        <w:autoSpaceDE/>
        <w:autoSpaceDN/>
        <w:adjustRightInd/>
        <w:spacing w:after="200" w:line="276" w:lineRule="auto"/>
        <w:jc w:val="center"/>
        <w:rPr>
          <w:rFonts w:eastAsia="Calibri"/>
          <w:b/>
          <w:bCs/>
          <w:sz w:val="24"/>
          <w:szCs w:val="23"/>
        </w:rPr>
      </w:pPr>
      <w:r>
        <w:rPr>
          <w:rFonts w:eastAsia="Calibri"/>
          <w:b/>
          <w:bCs/>
          <w:sz w:val="24"/>
          <w:szCs w:val="23"/>
        </w:rPr>
        <w:t>7.Профицит бюджета и источники финансирования дефицита бюджета.</w:t>
      </w:r>
    </w:p>
    <w:p w14:paraId="35157C9C">
      <w:pPr>
        <w:widowControl/>
        <w:autoSpaceDE/>
        <w:autoSpaceDN/>
        <w:adjustRightInd/>
        <w:spacing w:after="200" w:line="276" w:lineRule="auto"/>
        <w:jc w:val="center"/>
        <w:rPr>
          <w:rFonts w:eastAsia="Calibri"/>
          <w:sz w:val="24"/>
          <w:szCs w:val="23"/>
        </w:rPr>
      </w:pPr>
      <w:r>
        <w:rPr>
          <w:rFonts w:eastAsia="Calibri"/>
          <w:sz w:val="24"/>
          <w:szCs w:val="23"/>
        </w:rPr>
        <w:t xml:space="preserve"> Проектом решения о бюджете предусматривается формирование бюджета муниципального округа на 2026 год и плановый период 2027-2028 годы с профицитом в размере 1 000 тыс. рублей на 2026 год, на   2027-2028 годы бюджет сбалансирован.</w:t>
      </w:r>
    </w:p>
    <w:p w14:paraId="765AC994">
      <w:pPr>
        <w:widowControl/>
        <w:autoSpaceDE/>
        <w:autoSpaceDN/>
        <w:adjustRightInd/>
        <w:spacing w:after="200" w:line="276" w:lineRule="auto"/>
        <w:jc w:val="center"/>
        <w:rPr>
          <w:rFonts w:eastAsia="Calibri"/>
          <w:b/>
          <w:bCs/>
          <w:sz w:val="24"/>
          <w:szCs w:val="23"/>
        </w:rPr>
      </w:pPr>
      <w:r>
        <w:rPr>
          <w:rFonts w:eastAsia="Calibri"/>
          <w:sz w:val="24"/>
          <w:szCs w:val="23"/>
        </w:rPr>
        <w:t>В приложении 1  на 2026 год установлены источники внутреннего финансирования дефицита бюджета   на погашение бюджетами муниципальных районов бюджетных кредитов от других бюджетов бюджетной системы Российской Федерации.</w:t>
      </w:r>
      <w:r>
        <w:rPr>
          <w:rFonts w:eastAsia="Calibri"/>
          <w:b/>
          <w:bCs/>
          <w:sz w:val="24"/>
          <w:szCs w:val="23"/>
        </w:rPr>
        <w:t xml:space="preserve"> </w:t>
      </w:r>
    </w:p>
    <w:p w14:paraId="3DE117FE">
      <w:pPr>
        <w:widowControl/>
        <w:autoSpaceDE/>
        <w:autoSpaceDN/>
        <w:adjustRightInd/>
        <w:spacing w:after="200" w:line="276" w:lineRule="auto"/>
        <w:jc w:val="center"/>
        <w:rPr>
          <w:rFonts w:eastAsia="Calibri"/>
          <w:b/>
          <w:sz w:val="24"/>
          <w:szCs w:val="24"/>
          <w:lang w:eastAsia="en-US"/>
        </w:rPr>
      </w:pPr>
      <w:r>
        <w:rPr>
          <w:rFonts w:eastAsia="Calibri"/>
          <w:b/>
          <w:sz w:val="24"/>
          <w:szCs w:val="24"/>
          <w:lang w:eastAsia="en-US"/>
        </w:rPr>
        <w:t>ВЫВОДЫ:</w:t>
      </w:r>
    </w:p>
    <w:p w14:paraId="7F623380">
      <w:pPr>
        <w:pStyle w:val="11"/>
        <w:tabs>
          <w:tab w:val="left" w:pos="426"/>
        </w:tabs>
        <w:spacing w:line="276" w:lineRule="auto"/>
        <w:ind w:left="0"/>
        <w:rPr>
          <w:sz w:val="24"/>
          <w:szCs w:val="24"/>
        </w:rPr>
      </w:pPr>
      <w:r>
        <w:rPr>
          <w:b/>
          <w:sz w:val="24"/>
          <w:szCs w:val="24"/>
        </w:rPr>
        <w:t xml:space="preserve">       1</w:t>
      </w:r>
      <w:r>
        <w:rPr>
          <w:sz w:val="24"/>
          <w:szCs w:val="24"/>
        </w:rPr>
        <w:t xml:space="preserve">.Проект решения «О бюджете Дульдургинского муниципального округа на 2026 год и плановый период 2027и 2028 годов», (далее – Проект бюджета) внесен администрацией Дульдургинского муниципального округа на рассмотрение в представительный орган Дульдургинского  округа в установленный срок, соответствующий статье 185 Бюджетного кодекса Российской Федерации  -15 ноября 2025года в электронном варианте и на бумажном носителе.  </w:t>
      </w:r>
    </w:p>
    <w:p w14:paraId="755EB998">
      <w:pPr>
        <w:pStyle w:val="11"/>
        <w:tabs>
          <w:tab w:val="left" w:pos="426"/>
        </w:tabs>
        <w:spacing w:line="276" w:lineRule="auto"/>
        <w:ind w:left="0" w:firstLine="360" w:firstLineChars="150"/>
        <w:rPr>
          <w:sz w:val="24"/>
          <w:szCs w:val="24"/>
        </w:rPr>
      </w:pPr>
      <w:r>
        <w:rPr>
          <w:sz w:val="24"/>
          <w:szCs w:val="24"/>
        </w:rPr>
        <w:t>Министерством финансов Забайкальского края рассмотрен  проект бюджета Дульдургинского муниципального округа на 2026 год  и плановый период 2027 и 2028 годов  на соответствие требованиям бюджетного законодательства Российской Федерации.  По результатам рассмотрения проекта бюджета   принято заключение об увеличении в проекте бюджета прогноза поступления доходов и безвозмездных поступлений. Комитетом по финансам проведена работа по внесению изменений в Проект бюджета Дульдургинского муниципального округа на 2026 год  и плановый период 2027 и 2028 годов. В контрольно-счетную палату Проект бюджета Дульдургинского муниципального округа на 2026год  и плановый период 2027 и 2028 годов с изменениями представлен 12.12.2025 года.</w:t>
      </w:r>
    </w:p>
    <w:p w14:paraId="64F37D76">
      <w:pPr>
        <w:pStyle w:val="11"/>
        <w:tabs>
          <w:tab w:val="left" w:pos="426"/>
        </w:tabs>
        <w:spacing w:line="276" w:lineRule="auto"/>
        <w:ind w:left="0"/>
        <w:rPr>
          <w:sz w:val="24"/>
          <w:szCs w:val="24"/>
        </w:rPr>
      </w:pPr>
      <w:r>
        <w:rPr>
          <w:b/>
          <w:sz w:val="24"/>
          <w:szCs w:val="24"/>
        </w:rPr>
        <w:t xml:space="preserve">       2</w:t>
      </w:r>
      <w:r>
        <w:rPr>
          <w:sz w:val="24"/>
          <w:szCs w:val="24"/>
        </w:rPr>
        <w:t>.Перечень документов, представленных одновременно с проектом бюджета муниципального округа, соответствует требованиям статьи 184² БК РФ и пункта 3 статьи 23 Положения  о бюджетном процессе.</w:t>
      </w:r>
    </w:p>
    <w:p w14:paraId="6C20FC6B">
      <w:pPr>
        <w:pStyle w:val="11"/>
        <w:spacing w:line="276" w:lineRule="auto"/>
        <w:ind w:left="0"/>
        <w:rPr>
          <w:rFonts w:hint="default"/>
          <w:sz w:val="24"/>
          <w:szCs w:val="24"/>
          <w:highlight w:val="none"/>
          <w:lang w:val="ru-RU"/>
        </w:rPr>
      </w:pPr>
      <w:r>
        <w:rPr>
          <w:b/>
          <w:sz w:val="24"/>
          <w:szCs w:val="24"/>
        </w:rPr>
        <w:t xml:space="preserve">       3</w:t>
      </w:r>
      <w:r>
        <w:rPr>
          <w:sz w:val="24"/>
          <w:szCs w:val="24"/>
          <w:highlight w:val="none"/>
        </w:rPr>
        <w:t>.</w:t>
      </w:r>
      <w:r>
        <w:rPr>
          <w:rFonts w:hint="default"/>
          <w:sz w:val="24"/>
          <w:szCs w:val="24"/>
          <w:highlight w:val="none"/>
          <w:lang w:val="ru-RU"/>
        </w:rPr>
        <w:t>В соответствии с Федеральными законами от 20.03.2025 № 33-ФЗ «Об общих принципах организации местного самоуправления в единой системе публичной власти», Законом Забайкальского края от «28» декабря 2024 года № 2473-ЗЗК «О преобразовании всех поселений, входящих в состав муниципального района «Дульдургинский район» Забайкальского края, в Дульдургинский муниципальный округ Забайкальского края», Уставом Дульдургинского муниципального округа,</w:t>
      </w:r>
      <w:r>
        <w:rPr>
          <w:sz w:val="24"/>
          <w:szCs w:val="24"/>
          <w:highlight w:val="none"/>
        </w:rPr>
        <w:t>принято Решение Совета</w:t>
      </w:r>
      <w:r>
        <w:rPr>
          <w:rFonts w:hint="default"/>
          <w:sz w:val="24"/>
          <w:szCs w:val="24"/>
          <w:highlight w:val="none"/>
          <w:lang w:val="en-US"/>
        </w:rPr>
        <w:t xml:space="preserve"> </w:t>
      </w:r>
      <w:r>
        <w:rPr>
          <w:sz w:val="24"/>
          <w:szCs w:val="24"/>
          <w:highlight w:val="none"/>
        </w:rPr>
        <w:t>Дульдургинск</w:t>
      </w:r>
      <w:r>
        <w:rPr>
          <w:rFonts w:hint="default"/>
          <w:sz w:val="24"/>
          <w:szCs w:val="24"/>
          <w:highlight w:val="none"/>
          <w:lang w:val="ru-RU"/>
        </w:rPr>
        <w:t>ого</w:t>
      </w:r>
      <w:r>
        <w:rPr>
          <w:sz w:val="24"/>
          <w:szCs w:val="24"/>
          <w:highlight w:val="none"/>
        </w:rPr>
        <w:t xml:space="preserve"> муниципального</w:t>
      </w:r>
      <w:r>
        <w:rPr>
          <w:rFonts w:hint="default"/>
          <w:sz w:val="24"/>
          <w:szCs w:val="24"/>
          <w:highlight w:val="none"/>
          <w:lang w:val="ru-RU"/>
        </w:rPr>
        <w:t xml:space="preserve"> </w:t>
      </w:r>
      <w:r>
        <w:rPr>
          <w:sz w:val="24"/>
          <w:szCs w:val="24"/>
          <w:highlight w:val="none"/>
        </w:rPr>
        <w:t xml:space="preserve">  о</w:t>
      </w:r>
      <w:r>
        <w:rPr>
          <w:sz w:val="24"/>
          <w:szCs w:val="24"/>
          <w:highlight w:val="none"/>
          <w:lang w:val="ru-RU"/>
        </w:rPr>
        <w:t>круга</w:t>
      </w:r>
      <w:r>
        <w:rPr>
          <w:sz w:val="24"/>
          <w:szCs w:val="24"/>
          <w:highlight w:val="none"/>
        </w:rPr>
        <w:t xml:space="preserve">  </w:t>
      </w:r>
      <w:r>
        <w:rPr>
          <w:sz w:val="24"/>
          <w:szCs w:val="24"/>
          <w:highlight w:val="none"/>
          <w:lang w:val="ru-RU"/>
        </w:rPr>
        <w:t>о</w:t>
      </w:r>
      <w:r>
        <w:rPr>
          <w:rFonts w:hint="default"/>
          <w:sz w:val="24"/>
          <w:szCs w:val="24"/>
          <w:highlight w:val="none"/>
          <w:lang w:val="ru-RU"/>
        </w:rPr>
        <w:t xml:space="preserve"> </w:t>
      </w:r>
      <w:r>
        <w:rPr>
          <w:sz w:val="24"/>
          <w:szCs w:val="24"/>
          <w:highlight w:val="none"/>
        </w:rPr>
        <w:t xml:space="preserve">проведении публичных слушаний по проекту бюджета муниципального </w:t>
      </w:r>
      <w:r>
        <w:rPr>
          <w:sz w:val="24"/>
          <w:szCs w:val="24"/>
          <w:highlight w:val="none"/>
          <w:lang w:val="ru-RU"/>
        </w:rPr>
        <w:t>округа</w:t>
      </w:r>
      <w:r>
        <w:rPr>
          <w:rFonts w:hint="default"/>
          <w:sz w:val="24"/>
          <w:szCs w:val="24"/>
          <w:highlight w:val="none"/>
          <w:lang w:val="ru-RU"/>
        </w:rPr>
        <w:t xml:space="preserve"> </w:t>
      </w:r>
      <w:r>
        <w:rPr>
          <w:sz w:val="24"/>
          <w:szCs w:val="24"/>
          <w:highlight w:val="none"/>
        </w:rPr>
        <w:t>на 202</w:t>
      </w:r>
      <w:r>
        <w:rPr>
          <w:rFonts w:hint="default"/>
          <w:sz w:val="24"/>
          <w:szCs w:val="24"/>
          <w:highlight w:val="none"/>
          <w:lang w:val="ru-RU"/>
        </w:rPr>
        <w:t>6</w:t>
      </w:r>
      <w:r>
        <w:rPr>
          <w:sz w:val="24"/>
          <w:szCs w:val="24"/>
          <w:highlight w:val="none"/>
        </w:rPr>
        <w:t xml:space="preserve"> год и плановый период 202</w:t>
      </w:r>
      <w:r>
        <w:rPr>
          <w:rFonts w:hint="default"/>
          <w:sz w:val="24"/>
          <w:szCs w:val="24"/>
          <w:highlight w:val="none"/>
          <w:lang w:val="ru-RU"/>
        </w:rPr>
        <w:t>7</w:t>
      </w:r>
      <w:r>
        <w:rPr>
          <w:sz w:val="24"/>
          <w:szCs w:val="24"/>
          <w:highlight w:val="none"/>
        </w:rPr>
        <w:t xml:space="preserve"> и 202</w:t>
      </w:r>
      <w:r>
        <w:rPr>
          <w:rFonts w:hint="default"/>
          <w:sz w:val="24"/>
          <w:szCs w:val="24"/>
          <w:highlight w:val="none"/>
          <w:lang w:val="ru-RU"/>
        </w:rPr>
        <w:t>8</w:t>
      </w:r>
      <w:r>
        <w:rPr>
          <w:sz w:val="24"/>
          <w:szCs w:val="24"/>
          <w:highlight w:val="none"/>
        </w:rPr>
        <w:t xml:space="preserve"> годов  </w:t>
      </w:r>
      <w:r>
        <w:rPr>
          <w:rFonts w:hint="default"/>
          <w:sz w:val="24"/>
          <w:szCs w:val="24"/>
          <w:highlight w:val="none"/>
        </w:rPr>
        <w:t xml:space="preserve"> 2</w:t>
      </w:r>
      <w:r>
        <w:rPr>
          <w:rFonts w:hint="default"/>
          <w:sz w:val="24"/>
          <w:szCs w:val="24"/>
          <w:highlight w:val="none"/>
          <w:lang w:val="ru-RU"/>
        </w:rPr>
        <w:t>0</w:t>
      </w:r>
      <w:r>
        <w:rPr>
          <w:rFonts w:hint="default"/>
          <w:sz w:val="24"/>
          <w:szCs w:val="24"/>
          <w:highlight w:val="none"/>
        </w:rPr>
        <w:t xml:space="preserve"> декабря 2025г. в </w:t>
      </w:r>
      <w:r>
        <w:rPr>
          <w:rFonts w:hint="default"/>
          <w:sz w:val="24"/>
          <w:szCs w:val="24"/>
          <w:highlight w:val="none"/>
          <w:lang w:val="ru-RU"/>
        </w:rPr>
        <w:t>здании</w:t>
      </w:r>
      <w:r>
        <w:rPr>
          <w:rFonts w:hint="default"/>
          <w:sz w:val="24"/>
          <w:szCs w:val="24"/>
          <w:highlight w:val="none"/>
        </w:rPr>
        <w:t xml:space="preserve"> администрации Дульдургинского муниципального округа.</w:t>
      </w:r>
    </w:p>
    <w:p w14:paraId="48808BEF">
      <w:pPr>
        <w:pStyle w:val="11"/>
        <w:spacing w:line="276" w:lineRule="auto"/>
        <w:ind w:left="0"/>
        <w:rPr>
          <w:rFonts w:ascii="Times New Roman" w:hAnsi="Times New Roman"/>
          <w:sz w:val="24"/>
          <w:szCs w:val="24"/>
        </w:rPr>
      </w:pPr>
      <w:r>
        <w:rPr>
          <w:rFonts w:ascii="Times New Roman" w:hAnsi="Times New Roman"/>
          <w:b/>
          <w:sz w:val="24"/>
          <w:szCs w:val="24"/>
          <w:highlight w:val="none"/>
        </w:rPr>
        <w:t xml:space="preserve">       </w:t>
      </w:r>
      <w:r>
        <w:rPr>
          <w:rFonts w:ascii="Times New Roman" w:hAnsi="Times New Roman"/>
          <w:b/>
          <w:sz w:val="24"/>
          <w:szCs w:val="24"/>
        </w:rPr>
        <w:t>4</w:t>
      </w:r>
      <w:r>
        <w:rPr>
          <w:rFonts w:ascii="Times New Roman" w:hAnsi="Times New Roman"/>
          <w:sz w:val="24"/>
          <w:szCs w:val="24"/>
        </w:rPr>
        <w:t xml:space="preserve">.Прогноз социально-экономического развития утвержден Распоряжением администрации муниципального района «Дульдургинский район» от 24.10.2025 года №  152-р и размещён на официальном сайте </w:t>
      </w:r>
      <w:r>
        <w:rPr>
          <w:rFonts w:hint="default"/>
          <w:sz w:val="24"/>
          <w:szCs w:val="24"/>
          <w:highlight w:val="none"/>
        </w:rPr>
        <w:t>Дульдургинского муниципального округа</w:t>
      </w:r>
      <w:r>
        <w:rPr>
          <w:rFonts w:ascii="Times New Roman" w:hAnsi="Times New Roman"/>
          <w:sz w:val="24"/>
          <w:szCs w:val="24"/>
        </w:rPr>
        <w:t xml:space="preserve"> (http://duldurga.75.ru), что соответствует требованиям статьи 36 БК РФ.</w:t>
      </w:r>
    </w:p>
    <w:p w14:paraId="06851B6E">
      <w:pPr>
        <w:pStyle w:val="8"/>
        <w:shd w:val="clear" w:color="auto" w:fill="auto"/>
        <w:spacing w:before="0" w:after="0" w:line="276" w:lineRule="auto"/>
        <w:ind w:right="20"/>
        <w:rPr>
          <w:rFonts w:ascii="Times New Roman" w:hAnsi="Times New Roman"/>
          <w:sz w:val="24"/>
          <w:szCs w:val="24"/>
        </w:rPr>
      </w:pPr>
      <w:r>
        <w:rPr>
          <w:rFonts w:ascii="Times New Roman" w:hAnsi="Times New Roman"/>
          <w:b/>
          <w:sz w:val="24"/>
          <w:szCs w:val="24"/>
        </w:rPr>
        <w:t xml:space="preserve">      5</w:t>
      </w:r>
      <w:r>
        <w:rPr>
          <w:rFonts w:ascii="Times New Roman" w:hAnsi="Times New Roman"/>
          <w:sz w:val="24"/>
          <w:szCs w:val="24"/>
        </w:rPr>
        <w:t>.Прогноз социально-экономического развития разработан на трехлетний период, что соответствует требованиям статьи 173 БК РФ.</w:t>
      </w:r>
    </w:p>
    <w:p w14:paraId="3B7A0901">
      <w:pPr>
        <w:tabs>
          <w:tab w:val="left" w:pos="426"/>
        </w:tabs>
        <w:spacing w:line="276" w:lineRule="auto"/>
        <w:rPr>
          <w:sz w:val="24"/>
        </w:rPr>
      </w:pPr>
      <w:r>
        <w:rPr>
          <w:b/>
          <w:sz w:val="24"/>
        </w:rPr>
        <w:t xml:space="preserve">      6</w:t>
      </w:r>
      <w:r>
        <w:rPr>
          <w:sz w:val="24"/>
        </w:rPr>
        <w:t xml:space="preserve">.Прогноз разработан в двух вариантах: вариант 1 (консервативный), вариант 2 (базовый). В качестве основного варианта  для бюджетного планирования в соответствии со статьёй 174.1 БК РФ,  рассмотрен вариант 2 (базовый) Прогноза.                                                               </w:t>
      </w:r>
    </w:p>
    <w:p w14:paraId="5BCE5565">
      <w:pPr>
        <w:spacing w:line="276" w:lineRule="auto"/>
        <w:rPr>
          <w:sz w:val="24"/>
          <w:szCs w:val="24"/>
        </w:rPr>
      </w:pPr>
      <w:r>
        <w:rPr>
          <w:b/>
          <w:sz w:val="24"/>
          <w:szCs w:val="24"/>
        </w:rPr>
        <w:t xml:space="preserve">       7</w:t>
      </w:r>
      <w:r>
        <w:rPr>
          <w:sz w:val="24"/>
          <w:szCs w:val="24"/>
        </w:rPr>
        <w:t>.Представленный Проект бюджета составлен сроком на три года (на очередной финансовый год и плановый период), что соответствует части 4 статьи 169 БК РФ  и пункту 3 статьи 15 Положения о бюджетном процессе в муниципальном районе «Дульдургинский район». Состав показателей, представляемых для утверждения в Проекте бюджета, соответствует требованиям статьи 184.1 БК РФ и статьи 22 Положения о бюджетном процессе.</w:t>
      </w:r>
    </w:p>
    <w:p w14:paraId="44999C80">
      <w:pPr>
        <w:tabs>
          <w:tab w:val="decimal" w:pos="426"/>
        </w:tabs>
        <w:spacing w:line="276" w:lineRule="auto"/>
        <w:rPr>
          <w:sz w:val="24"/>
          <w:szCs w:val="24"/>
        </w:rPr>
      </w:pPr>
      <w:r>
        <w:rPr>
          <w:b/>
          <w:sz w:val="24"/>
          <w:szCs w:val="24"/>
        </w:rPr>
        <w:t xml:space="preserve">       </w:t>
      </w:r>
      <w:r>
        <w:rPr>
          <w:rFonts w:hint="default"/>
          <w:b/>
          <w:sz w:val="24"/>
          <w:szCs w:val="24"/>
          <w:lang w:val="ru-RU"/>
        </w:rPr>
        <w:t>8</w:t>
      </w:r>
      <w:r>
        <w:rPr>
          <w:b/>
          <w:sz w:val="24"/>
          <w:szCs w:val="24"/>
        </w:rPr>
        <w:t>.</w:t>
      </w:r>
      <w:r>
        <w:rPr>
          <w:sz w:val="24"/>
          <w:szCs w:val="24"/>
        </w:rPr>
        <w:t xml:space="preserve"> Проект    бюджета  муниципального округа по доходам  на 2026 год и плановый период 2027 и 2028 годы сформированы:</w:t>
      </w:r>
    </w:p>
    <w:p w14:paraId="5415B709">
      <w:pPr>
        <w:pStyle w:val="8"/>
        <w:shd w:val="clear" w:color="auto" w:fill="auto"/>
        <w:tabs>
          <w:tab w:val="left" w:pos="426"/>
        </w:tabs>
        <w:spacing w:before="0" w:after="0" w:line="276" w:lineRule="auto"/>
        <w:ind w:left="20" w:right="20"/>
        <w:jc w:val="both"/>
        <w:rPr>
          <w:rFonts w:ascii="Times New Roman" w:hAnsi="Times New Roman"/>
          <w:sz w:val="24"/>
          <w:szCs w:val="24"/>
        </w:rPr>
      </w:pPr>
      <w:r>
        <w:rPr>
          <w:rFonts w:ascii="Times New Roman" w:hAnsi="Times New Roman"/>
          <w:sz w:val="24"/>
          <w:szCs w:val="24"/>
        </w:rPr>
        <w:t xml:space="preserve">   -на основе бюджетного законодательства и законодательства о налогах и сборах;</w:t>
      </w:r>
    </w:p>
    <w:p w14:paraId="601BBA9F">
      <w:pPr>
        <w:pStyle w:val="8"/>
        <w:shd w:val="clear" w:color="auto" w:fill="auto"/>
        <w:tabs>
          <w:tab w:val="left" w:pos="426"/>
        </w:tabs>
        <w:spacing w:before="0" w:after="0" w:line="276" w:lineRule="auto"/>
        <w:ind w:left="20" w:right="20"/>
        <w:jc w:val="both"/>
        <w:rPr>
          <w:rFonts w:ascii="Times New Roman" w:hAnsi="Times New Roman"/>
          <w:sz w:val="24"/>
          <w:szCs w:val="24"/>
        </w:rPr>
      </w:pPr>
      <w:r>
        <w:rPr>
          <w:rFonts w:ascii="Times New Roman" w:hAnsi="Times New Roman"/>
          <w:sz w:val="24"/>
          <w:szCs w:val="24"/>
        </w:rPr>
        <w:t xml:space="preserve">   -показателей бюджета 2025года с внесёнными изменениями и оценки их исполнения в 2025 году;</w:t>
      </w:r>
    </w:p>
    <w:p w14:paraId="22D34440">
      <w:pPr>
        <w:pStyle w:val="8"/>
        <w:shd w:val="clear" w:color="auto" w:fill="auto"/>
        <w:tabs>
          <w:tab w:val="left" w:pos="284"/>
          <w:tab w:val="left" w:pos="851"/>
        </w:tabs>
        <w:spacing w:before="0" w:after="0" w:line="276" w:lineRule="auto"/>
        <w:ind w:right="20"/>
      </w:pPr>
      <w:r>
        <w:rPr>
          <w:rFonts w:ascii="Times New Roman" w:hAnsi="Times New Roman"/>
          <w:sz w:val="24"/>
          <w:szCs w:val="24"/>
        </w:rPr>
        <w:t xml:space="preserve">   -объемах межбюджетных трансфертов, определенных проектом закона Забайкальского края «О бюджете Забайкальского края на 2026 год и плановый период 2027 и 2028годов, иными актами.</w:t>
      </w:r>
    </w:p>
    <w:p w14:paraId="4E99D402">
      <w:pPr>
        <w:pStyle w:val="8"/>
        <w:shd w:val="clear" w:color="auto" w:fill="auto"/>
        <w:tabs>
          <w:tab w:val="left" w:pos="284"/>
          <w:tab w:val="left" w:pos="851"/>
        </w:tabs>
        <w:spacing w:before="0" w:after="0" w:line="276" w:lineRule="auto"/>
        <w:ind w:right="20"/>
        <w:rPr>
          <w:rFonts w:ascii="Times New Roman" w:hAnsi="Times New Roman"/>
          <w:sz w:val="24"/>
          <w:szCs w:val="24"/>
        </w:rPr>
      </w:pPr>
      <w:r>
        <w:rPr>
          <w:rFonts w:ascii="Times New Roman" w:hAnsi="Times New Roman"/>
          <w:sz w:val="24"/>
          <w:szCs w:val="24"/>
        </w:rPr>
        <w:t xml:space="preserve">              Проанализировав прогноз поступлений налоговых и неналоговых доходов в бюджет муниципального округа, контрольно-счетная палата считает, что есть основания увеличения  прогнозных показателей по доходам  по туристическому налогу в бюджет округа.  Туристический налог запланирован на 2026 год в сумме 3</w:t>
      </w:r>
      <w:r>
        <w:rPr>
          <w:rFonts w:hint="default" w:ascii="Times New Roman" w:hAnsi="Times New Roman"/>
          <w:sz w:val="24"/>
          <w:szCs w:val="24"/>
          <w:lang w:val="ru-RU"/>
        </w:rPr>
        <w:t>,0</w:t>
      </w:r>
      <w:r>
        <w:rPr>
          <w:rFonts w:ascii="Times New Roman" w:hAnsi="Times New Roman"/>
          <w:sz w:val="24"/>
          <w:szCs w:val="24"/>
        </w:rPr>
        <w:t xml:space="preserve"> тыс.рублей, на 2027-2028 годы соответственно 4,0 и 5,0 тыс.рублей. В 2025 году по данным месячной </w:t>
      </w:r>
      <w:r>
        <w:rPr>
          <w:rFonts w:ascii="Times New Roman" w:hAnsi="Times New Roman"/>
          <w:sz w:val="24"/>
          <w:szCs w:val="24"/>
          <w:lang w:val="ru-RU"/>
        </w:rPr>
        <w:t>отчётности</w:t>
      </w:r>
      <w:r>
        <w:rPr>
          <w:rFonts w:ascii="Times New Roman" w:hAnsi="Times New Roman"/>
          <w:sz w:val="24"/>
          <w:szCs w:val="24"/>
        </w:rPr>
        <w:t xml:space="preserve">  на 01.11.2025 года администрации сельского поселения Дульдурга поступление</w:t>
      </w:r>
      <w:r>
        <w:rPr>
          <w:rFonts w:hint="default" w:ascii="Times New Roman" w:hAnsi="Times New Roman"/>
          <w:sz w:val="24"/>
          <w:szCs w:val="24"/>
          <w:lang w:val="ru-RU"/>
        </w:rPr>
        <w:t xml:space="preserve"> </w:t>
      </w:r>
      <w:r>
        <w:rPr>
          <w:rFonts w:ascii="Times New Roman" w:hAnsi="Times New Roman"/>
          <w:sz w:val="24"/>
          <w:szCs w:val="24"/>
        </w:rPr>
        <w:t>туристического налога составило 8</w:t>
      </w:r>
      <w:r>
        <w:rPr>
          <w:rFonts w:hint="default" w:ascii="Times New Roman" w:hAnsi="Times New Roman"/>
          <w:sz w:val="24"/>
          <w:szCs w:val="24"/>
          <w:lang w:val="ru-RU"/>
        </w:rPr>
        <w:t>86,1</w:t>
      </w:r>
      <w:r>
        <w:rPr>
          <w:rFonts w:ascii="Times New Roman" w:hAnsi="Times New Roman"/>
          <w:sz w:val="24"/>
          <w:szCs w:val="24"/>
        </w:rPr>
        <w:t xml:space="preserve"> тыс.рублей.</w:t>
      </w:r>
    </w:p>
    <w:p w14:paraId="7E67362D">
      <w:pPr>
        <w:pStyle w:val="8"/>
        <w:shd w:val="clear" w:color="auto" w:fill="auto"/>
        <w:tabs>
          <w:tab w:val="left" w:pos="284"/>
          <w:tab w:val="left" w:pos="426"/>
        </w:tabs>
        <w:spacing w:before="0" w:after="0" w:line="276" w:lineRule="auto"/>
        <w:ind w:left="20" w:right="20"/>
        <w:rPr>
          <w:rFonts w:ascii="Times New Roman" w:hAnsi="Times New Roman"/>
          <w:sz w:val="24"/>
          <w:szCs w:val="24"/>
        </w:rPr>
      </w:pPr>
      <w:r>
        <w:rPr>
          <w:rFonts w:ascii="Times New Roman" w:hAnsi="Times New Roman"/>
          <w:b/>
          <w:sz w:val="24"/>
          <w:szCs w:val="24"/>
        </w:rPr>
        <w:t xml:space="preserve">      </w:t>
      </w:r>
      <w:r>
        <w:rPr>
          <w:rFonts w:hint="default" w:ascii="Times New Roman" w:hAnsi="Times New Roman"/>
          <w:b/>
          <w:sz w:val="24"/>
          <w:szCs w:val="24"/>
          <w:lang w:val="ru-RU"/>
        </w:rPr>
        <w:t>9</w:t>
      </w:r>
      <w:r>
        <w:rPr>
          <w:rFonts w:ascii="Times New Roman" w:hAnsi="Times New Roman"/>
          <w:sz w:val="24"/>
          <w:szCs w:val="24"/>
        </w:rPr>
        <w:t>. Объем безвозмездных поступлений в бюджет муниципального округа  запланирован в 2026 году в объеме 845 869,8 тыс. рублей, в 2027 году в объеме 722 610,1 тыс. рублей, в 2028 году в объеме 682 702,7 тыс. рублей.</w:t>
      </w:r>
    </w:p>
    <w:p w14:paraId="397C507F">
      <w:pPr>
        <w:tabs>
          <w:tab w:val="left" w:pos="567"/>
        </w:tabs>
        <w:jc w:val="both"/>
        <w:rPr>
          <w:sz w:val="24"/>
          <w:szCs w:val="24"/>
        </w:rPr>
      </w:pPr>
      <w:r>
        <w:rPr>
          <w:sz w:val="24"/>
          <w:szCs w:val="24"/>
        </w:rPr>
        <w:t xml:space="preserve">      Существует практика, что параметры бюджета в представленном проекте бюджета в течение 2026 года будут изменяться в сторону увеличения, как в части собственных доходов местного бюджета, так и в части безвозмездных поступлений из краевого бюджета </w:t>
      </w:r>
    </w:p>
    <w:p w14:paraId="7128DBCB">
      <w:pPr>
        <w:tabs>
          <w:tab w:val="left" w:pos="567"/>
        </w:tabs>
        <w:jc w:val="both"/>
        <w:rPr>
          <w:sz w:val="24"/>
          <w:szCs w:val="24"/>
        </w:rPr>
      </w:pPr>
      <w:r>
        <w:rPr>
          <w:b/>
          <w:sz w:val="24"/>
          <w:szCs w:val="24"/>
        </w:rPr>
        <w:t xml:space="preserve">      1</w:t>
      </w:r>
      <w:r>
        <w:rPr>
          <w:rFonts w:hint="default"/>
          <w:b/>
          <w:sz w:val="24"/>
          <w:szCs w:val="24"/>
          <w:lang w:val="ru-RU"/>
        </w:rPr>
        <w:t>0</w:t>
      </w:r>
      <w:r>
        <w:rPr>
          <w:b/>
          <w:sz w:val="24"/>
          <w:szCs w:val="24"/>
        </w:rPr>
        <w:t>.</w:t>
      </w:r>
      <w:r>
        <w:rPr>
          <w:sz w:val="24"/>
          <w:szCs w:val="24"/>
        </w:rPr>
        <w:t>Проект бюджета  муниципального округа по расходам сформирован в следующих объемах:</w:t>
      </w:r>
    </w:p>
    <w:p w14:paraId="4784FBC6">
      <w:pPr>
        <w:pStyle w:val="8"/>
        <w:numPr>
          <w:ilvl w:val="0"/>
          <w:numId w:val="5"/>
        </w:numPr>
        <w:shd w:val="clear" w:color="auto" w:fill="auto"/>
        <w:spacing w:before="0" w:after="0" w:line="276" w:lineRule="auto"/>
        <w:ind w:right="20"/>
        <w:rPr>
          <w:rFonts w:ascii="Times New Roman" w:hAnsi="Times New Roman"/>
          <w:sz w:val="24"/>
          <w:szCs w:val="24"/>
        </w:rPr>
      </w:pPr>
      <w:r>
        <w:rPr>
          <w:rFonts w:ascii="Times New Roman" w:hAnsi="Times New Roman"/>
          <w:sz w:val="24"/>
          <w:szCs w:val="24"/>
        </w:rPr>
        <w:t xml:space="preserve">на 2026 год в сумме  1 126 116,7 тыс. рублей, </w:t>
      </w:r>
    </w:p>
    <w:p w14:paraId="53BBACAD">
      <w:pPr>
        <w:pStyle w:val="8"/>
        <w:numPr>
          <w:ilvl w:val="0"/>
          <w:numId w:val="5"/>
        </w:numPr>
        <w:shd w:val="clear" w:color="auto" w:fill="auto"/>
        <w:spacing w:before="0" w:after="0" w:line="276" w:lineRule="auto"/>
        <w:ind w:right="20"/>
        <w:rPr>
          <w:rFonts w:ascii="Times New Roman" w:hAnsi="Times New Roman"/>
          <w:sz w:val="24"/>
          <w:szCs w:val="24"/>
        </w:rPr>
      </w:pPr>
      <w:r>
        <w:rPr>
          <w:rFonts w:ascii="Times New Roman" w:hAnsi="Times New Roman"/>
          <w:sz w:val="24"/>
          <w:szCs w:val="24"/>
        </w:rPr>
        <w:t xml:space="preserve">на 2027 год в сумме  1 030 668,6тыс. рублей, </w:t>
      </w:r>
    </w:p>
    <w:p w14:paraId="7A5DF681">
      <w:pPr>
        <w:pStyle w:val="8"/>
        <w:numPr>
          <w:ilvl w:val="0"/>
          <w:numId w:val="5"/>
        </w:numPr>
        <w:shd w:val="clear" w:color="auto" w:fill="auto"/>
        <w:spacing w:before="0" w:after="0" w:line="276" w:lineRule="auto"/>
        <w:ind w:right="20"/>
        <w:rPr>
          <w:rFonts w:ascii="Times New Roman" w:hAnsi="Times New Roman"/>
          <w:sz w:val="24"/>
          <w:szCs w:val="24"/>
        </w:rPr>
      </w:pPr>
      <w:r>
        <w:rPr>
          <w:rFonts w:ascii="Times New Roman" w:hAnsi="Times New Roman"/>
          <w:sz w:val="24"/>
          <w:szCs w:val="24"/>
        </w:rPr>
        <w:t xml:space="preserve">на 2028 год в сумме  993 148,1 тыс. </w:t>
      </w:r>
      <w:r>
        <w:rPr>
          <w:rFonts w:ascii="Times New Roman" w:hAnsi="Times New Roman"/>
          <w:sz w:val="24"/>
          <w:szCs w:val="24"/>
          <w:lang w:val="ru-RU"/>
        </w:rPr>
        <w:t>р</w:t>
      </w:r>
      <w:r>
        <w:rPr>
          <w:rFonts w:ascii="Times New Roman" w:hAnsi="Times New Roman"/>
          <w:sz w:val="24"/>
          <w:szCs w:val="24"/>
        </w:rPr>
        <w:t>убле</w:t>
      </w:r>
      <w:r>
        <w:rPr>
          <w:rFonts w:ascii="Times New Roman" w:hAnsi="Times New Roman"/>
          <w:sz w:val="24"/>
          <w:szCs w:val="24"/>
          <w:lang w:val="ru-RU"/>
        </w:rPr>
        <w:t>й</w:t>
      </w:r>
      <w:r>
        <w:rPr>
          <w:rFonts w:hint="default" w:ascii="Times New Roman" w:hAnsi="Times New Roman"/>
          <w:sz w:val="24"/>
          <w:szCs w:val="24"/>
          <w:lang w:val="ru-RU"/>
        </w:rPr>
        <w:t>.</w:t>
      </w:r>
    </w:p>
    <w:p w14:paraId="17AFAA3D">
      <w:pPr>
        <w:pStyle w:val="8"/>
        <w:numPr>
          <w:numId w:val="0"/>
        </w:numPr>
        <w:shd w:val="clear" w:color="auto" w:fill="auto"/>
        <w:spacing w:before="0" w:after="0" w:line="276" w:lineRule="auto"/>
        <w:ind w:right="20" w:rightChars="0"/>
        <w:rPr>
          <w:rFonts w:ascii="Times New Roman" w:hAnsi="Times New Roman"/>
          <w:sz w:val="24"/>
          <w:szCs w:val="24"/>
        </w:rPr>
      </w:pPr>
      <w:r>
        <w:rPr>
          <w:rFonts w:ascii="Times New Roman" w:hAnsi="Times New Roman"/>
          <w:sz w:val="24"/>
          <w:szCs w:val="24"/>
        </w:rPr>
        <w:t xml:space="preserve">       Расходная часть бюджета муниципального округа</w:t>
      </w:r>
      <w:r>
        <w:rPr>
          <w:rFonts w:hint="default" w:ascii="Times New Roman" w:hAnsi="Times New Roman"/>
          <w:sz w:val="24"/>
          <w:szCs w:val="24"/>
          <w:lang w:val="ru-RU"/>
        </w:rPr>
        <w:t xml:space="preserve"> </w:t>
      </w:r>
      <w:r>
        <w:rPr>
          <w:rFonts w:ascii="Times New Roman" w:hAnsi="Times New Roman"/>
          <w:sz w:val="24"/>
          <w:szCs w:val="24"/>
        </w:rPr>
        <w:t>сформирована в пределах прогнозируемых доходов и выделяемой финансовой поддержки с краевого бюджета.         Расходы бюджета Дульдургинского муниципального округа» на 2026 год по разделам классификации расходов бюджетов предусмотрены на расходы по выплате заработной платы и отчислений с заработной платы в расчете на7,5 месяцев, на  оплату коммунальных услуг в расчете на 12 месяцев.       Фонд заработной платы составил – 730 565,7 тыс. рублей; коммунальные услуги и котельно-печное топливо – 202 603,5 тыс. рублей. Прочие расходы (без учета дорожного фонда) в сумме 41 828,4 тыс. рублей распределены по следующим статьям расходов, в том числе:</w:t>
      </w:r>
    </w:p>
    <w:p w14:paraId="7EEA48B1">
      <w:pPr>
        <w:pStyle w:val="8"/>
        <w:numPr>
          <w:numId w:val="0"/>
        </w:numPr>
        <w:shd w:val="clear" w:color="auto" w:fill="auto"/>
        <w:spacing w:before="0" w:after="0" w:line="276" w:lineRule="auto"/>
        <w:ind w:right="20" w:rightChars="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2 752,1 тыс. рублей – оплата налогов; </w:t>
      </w:r>
    </w:p>
    <w:p w14:paraId="7A4189E8">
      <w:pPr>
        <w:pStyle w:val="8"/>
        <w:numPr>
          <w:numId w:val="0"/>
        </w:numPr>
        <w:shd w:val="clear" w:color="auto" w:fill="auto"/>
        <w:spacing w:before="0" w:after="0" w:line="276" w:lineRule="auto"/>
        <w:ind w:right="20" w:rightChars="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2 541,5 тыс. рублей – оплата услуг связи; </w:t>
      </w:r>
    </w:p>
    <w:p w14:paraId="077DB94D">
      <w:pPr>
        <w:pStyle w:val="8"/>
        <w:numPr>
          <w:numId w:val="0"/>
        </w:numPr>
        <w:shd w:val="clear" w:color="auto" w:fill="auto"/>
        <w:spacing w:before="0" w:after="0" w:line="276" w:lineRule="auto"/>
        <w:ind w:right="20" w:rightChars="0"/>
        <w:rPr>
          <w:rFonts w:hint="default" w:ascii="Times New Roman" w:hAnsi="Times New Roman"/>
          <w:sz w:val="24"/>
          <w:szCs w:val="24"/>
          <w:lang w:val="ru-RU"/>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1 550,0тыс. рублей -резервный фонд муниципального округа</w:t>
      </w:r>
      <w:r>
        <w:rPr>
          <w:rFonts w:hint="default" w:ascii="Times New Roman" w:hAnsi="Times New Roman"/>
          <w:sz w:val="24"/>
          <w:szCs w:val="24"/>
          <w:lang w:val="ru-RU"/>
        </w:rPr>
        <w:t>;</w:t>
      </w:r>
    </w:p>
    <w:p w14:paraId="60FF4F0D">
      <w:pPr>
        <w:pStyle w:val="8"/>
        <w:numPr>
          <w:numId w:val="0"/>
        </w:numPr>
        <w:shd w:val="clear" w:color="auto" w:fill="auto"/>
        <w:spacing w:before="0" w:after="0" w:line="276" w:lineRule="auto"/>
        <w:ind w:right="20" w:rightChars="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600 тыс. рублей- на формирование резерва финансовых ресурсов для предупреждения и ликвидации чрезвычайных ситуаций</w:t>
      </w:r>
      <w:r>
        <w:rPr>
          <w:rFonts w:hint="default" w:ascii="Times New Roman" w:hAnsi="Times New Roman"/>
          <w:sz w:val="24"/>
          <w:szCs w:val="24"/>
          <w:lang w:val="ru-RU"/>
        </w:rPr>
        <w:t>;</w:t>
      </w:r>
      <w:r>
        <w:rPr>
          <w:rFonts w:ascii="Times New Roman" w:hAnsi="Times New Roman"/>
          <w:sz w:val="24"/>
          <w:szCs w:val="24"/>
        </w:rPr>
        <w:t xml:space="preserve"> </w:t>
      </w:r>
    </w:p>
    <w:p w14:paraId="7B981C19">
      <w:pPr>
        <w:pStyle w:val="8"/>
        <w:numPr>
          <w:numId w:val="0"/>
        </w:numPr>
        <w:shd w:val="clear" w:color="auto" w:fill="auto"/>
        <w:spacing w:before="0" w:after="0" w:line="276" w:lineRule="auto"/>
        <w:ind w:right="20" w:rightChars="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расходы по оплате работ и услуг по содержанию имущества : услуги СЭС 1 206,0 тыс. рублей, противопожарная обработка 1 005,0 тыс. рублей, АПС 1 824,3 тыс. </w:t>
      </w:r>
      <w:r>
        <w:rPr>
          <w:rFonts w:ascii="Times New Roman" w:hAnsi="Times New Roman"/>
          <w:sz w:val="24"/>
          <w:szCs w:val="24"/>
          <w:lang w:val="ru-RU"/>
        </w:rPr>
        <w:t>р</w:t>
      </w:r>
      <w:r>
        <w:rPr>
          <w:rFonts w:ascii="Times New Roman" w:hAnsi="Times New Roman"/>
          <w:sz w:val="24"/>
          <w:szCs w:val="24"/>
        </w:rPr>
        <w:t>ублей</w:t>
      </w:r>
      <w:r>
        <w:rPr>
          <w:rFonts w:hint="default" w:ascii="Times New Roman" w:hAnsi="Times New Roman"/>
          <w:sz w:val="24"/>
          <w:szCs w:val="24"/>
          <w:lang w:val="ru-RU"/>
        </w:rPr>
        <w:t>;</w:t>
      </w:r>
      <w:r>
        <w:rPr>
          <w:rFonts w:ascii="Times New Roman" w:hAnsi="Times New Roman"/>
          <w:sz w:val="24"/>
          <w:szCs w:val="24"/>
        </w:rPr>
        <w:t xml:space="preserve"> </w:t>
      </w:r>
    </w:p>
    <w:p w14:paraId="624BD4B5">
      <w:pPr>
        <w:pStyle w:val="8"/>
        <w:numPr>
          <w:numId w:val="0"/>
        </w:numPr>
        <w:shd w:val="clear" w:color="auto" w:fill="auto"/>
        <w:spacing w:before="0" w:after="0" w:line="276" w:lineRule="auto"/>
        <w:ind w:right="20" w:rightChars="0"/>
        <w:rPr>
          <w:rFonts w:hint="default" w:ascii="Times New Roman" w:hAnsi="Times New Roman"/>
          <w:sz w:val="24"/>
          <w:szCs w:val="24"/>
          <w:lang w:val="ru-RU"/>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прочие услуги : охрана 8 011,2 тыс. рублей, медосмотр 3 734,9 тыс. рублей, программное обеспечение 1 693,3 тыс. рублей и другие прочие расходы</w:t>
      </w:r>
      <w:r>
        <w:rPr>
          <w:rFonts w:hint="default" w:ascii="Times New Roman" w:hAnsi="Times New Roman"/>
          <w:sz w:val="24"/>
          <w:szCs w:val="24"/>
          <w:lang w:val="ru-RU"/>
        </w:rPr>
        <w:t>;</w:t>
      </w:r>
    </w:p>
    <w:p w14:paraId="1D8E1329">
      <w:pPr>
        <w:pStyle w:val="8"/>
        <w:numPr>
          <w:numId w:val="0"/>
        </w:numPr>
        <w:shd w:val="clear" w:color="auto" w:fill="auto"/>
        <w:spacing w:before="0" w:after="0" w:line="276" w:lineRule="auto"/>
        <w:ind w:right="20" w:rightChars="0"/>
        <w:rPr>
          <w:rFonts w:hint="default" w:ascii="Times New Roman" w:hAnsi="Times New Roman"/>
          <w:sz w:val="24"/>
          <w:szCs w:val="24"/>
          <w:lang w:val="ru-RU"/>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санаторно-курортное возмещение– 1 142,7тыс. </w:t>
      </w:r>
      <w:r>
        <w:rPr>
          <w:rFonts w:ascii="Times New Roman" w:hAnsi="Times New Roman"/>
          <w:sz w:val="24"/>
          <w:szCs w:val="24"/>
          <w:lang w:val="ru-RU"/>
        </w:rPr>
        <w:t>р</w:t>
      </w:r>
      <w:r>
        <w:rPr>
          <w:rFonts w:ascii="Times New Roman" w:hAnsi="Times New Roman"/>
          <w:sz w:val="24"/>
          <w:szCs w:val="24"/>
        </w:rPr>
        <w:t>ублей</w:t>
      </w:r>
      <w:r>
        <w:rPr>
          <w:rFonts w:hint="default" w:ascii="Times New Roman" w:hAnsi="Times New Roman"/>
          <w:sz w:val="24"/>
          <w:szCs w:val="24"/>
          <w:lang w:val="ru-RU"/>
        </w:rPr>
        <w:t>;</w:t>
      </w:r>
    </w:p>
    <w:p w14:paraId="63E9536C">
      <w:pPr>
        <w:pStyle w:val="8"/>
        <w:numPr>
          <w:numId w:val="0"/>
        </w:numPr>
        <w:shd w:val="clear" w:color="auto" w:fill="auto"/>
        <w:spacing w:before="0" w:after="0" w:line="276" w:lineRule="auto"/>
        <w:ind w:right="20" w:rightChars="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субсидии редакции Ленинец 1 000 тыс. </w:t>
      </w:r>
      <w:r>
        <w:rPr>
          <w:rFonts w:ascii="Times New Roman" w:hAnsi="Times New Roman"/>
          <w:sz w:val="24"/>
          <w:szCs w:val="24"/>
          <w:lang w:val="ru-RU"/>
        </w:rPr>
        <w:t>р</w:t>
      </w:r>
      <w:r>
        <w:rPr>
          <w:rFonts w:ascii="Times New Roman" w:hAnsi="Times New Roman"/>
          <w:sz w:val="24"/>
          <w:szCs w:val="24"/>
        </w:rPr>
        <w:t>ублей</w:t>
      </w:r>
      <w:r>
        <w:rPr>
          <w:rFonts w:hint="default" w:ascii="Times New Roman" w:hAnsi="Times New Roman"/>
          <w:sz w:val="24"/>
          <w:szCs w:val="24"/>
          <w:lang w:val="ru-RU"/>
        </w:rPr>
        <w:t>;</w:t>
      </w:r>
      <w:r>
        <w:rPr>
          <w:rFonts w:ascii="Times New Roman" w:hAnsi="Times New Roman"/>
          <w:sz w:val="24"/>
          <w:szCs w:val="24"/>
        </w:rPr>
        <w:t xml:space="preserve"> </w:t>
      </w:r>
    </w:p>
    <w:p w14:paraId="4FB775BD">
      <w:pPr>
        <w:pStyle w:val="8"/>
        <w:numPr>
          <w:numId w:val="0"/>
        </w:numPr>
        <w:shd w:val="clear" w:color="auto" w:fill="auto"/>
        <w:spacing w:before="0" w:after="0" w:line="276" w:lineRule="auto"/>
        <w:ind w:right="20" w:rightChars="0"/>
        <w:rPr>
          <w:rFonts w:hint="default" w:ascii="Times New Roman" w:hAnsi="Times New Roman"/>
          <w:sz w:val="24"/>
          <w:szCs w:val="24"/>
          <w:lang w:val="ru-RU"/>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 xml:space="preserve">питание по садам и школам (КРО и ЕГЭ) 2 997,3 тыс. </w:t>
      </w:r>
      <w:r>
        <w:rPr>
          <w:rFonts w:ascii="Times New Roman" w:hAnsi="Times New Roman"/>
          <w:sz w:val="24"/>
          <w:szCs w:val="24"/>
          <w:lang w:val="ru-RU"/>
        </w:rPr>
        <w:t>р</w:t>
      </w:r>
      <w:r>
        <w:rPr>
          <w:rFonts w:ascii="Times New Roman" w:hAnsi="Times New Roman"/>
          <w:sz w:val="24"/>
          <w:szCs w:val="24"/>
        </w:rPr>
        <w:t>ублей</w:t>
      </w:r>
      <w:r>
        <w:rPr>
          <w:rFonts w:hint="default" w:ascii="Times New Roman" w:hAnsi="Times New Roman"/>
          <w:sz w:val="24"/>
          <w:szCs w:val="24"/>
          <w:lang w:val="ru-RU"/>
        </w:rPr>
        <w:t>;</w:t>
      </w:r>
    </w:p>
    <w:p w14:paraId="7115CD11">
      <w:pPr>
        <w:pStyle w:val="8"/>
        <w:numPr>
          <w:numId w:val="0"/>
        </w:numPr>
        <w:shd w:val="clear" w:color="auto" w:fill="auto"/>
        <w:spacing w:before="0" w:after="0" w:line="276" w:lineRule="auto"/>
        <w:ind w:right="20" w:rightChars="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пенсионное обеспечение – 4 444,4 тыс. Рублей</w:t>
      </w:r>
      <w:r>
        <w:rPr>
          <w:rFonts w:hint="default" w:ascii="Times New Roman" w:hAnsi="Times New Roman"/>
          <w:sz w:val="24"/>
          <w:szCs w:val="24"/>
          <w:lang w:val="ru-RU"/>
        </w:rPr>
        <w:t>;</w:t>
      </w:r>
      <w:r>
        <w:rPr>
          <w:rFonts w:ascii="Times New Roman" w:hAnsi="Times New Roman"/>
          <w:sz w:val="24"/>
          <w:szCs w:val="24"/>
        </w:rPr>
        <w:t xml:space="preserve"> </w:t>
      </w:r>
    </w:p>
    <w:p w14:paraId="0246F3E2">
      <w:pPr>
        <w:pStyle w:val="8"/>
        <w:shd w:val="clear" w:color="auto" w:fill="auto"/>
        <w:tabs>
          <w:tab w:val="decimal" w:pos="426"/>
        </w:tabs>
        <w:spacing w:before="0" w:after="0" w:line="276" w:lineRule="auto"/>
        <w:ind w:right="20"/>
        <w:rPr>
          <w:rFonts w:hint="default" w:ascii="Times New Roman" w:hAnsi="Times New Roman"/>
          <w:sz w:val="24"/>
          <w:szCs w:val="24"/>
          <w:lang w:val="ru-RU"/>
        </w:rPr>
      </w:pPr>
      <w:r>
        <w:rPr>
          <w:rFonts w:ascii="Times New Roman" w:hAnsi="Times New Roman"/>
          <w:sz w:val="24"/>
          <w:szCs w:val="24"/>
        </w:rPr>
        <w:t>•</w:t>
      </w:r>
      <w:r>
        <w:rPr>
          <w:rFonts w:hint="default" w:ascii="Times New Roman" w:hAnsi="Times New Roman"/>
          <w:sz w:val="24"/>
          <w:szCs w:val="24"/>
          <w:lang w:val="ru-RU"/>
        </w:rPr>
        <w:t xml:space="preserve">       </w:t>
      </w:r>
      <w:r>
        <w:rPr>
          <w:rFonts w:ascii="Times New Roman" w:hAnsi="Times New Roman"/>
          <w:sz w:val="24"/>
          <w:szCs w:val="24"/>
        </w:rPr>
        <w:tab/>
      </w:r>
      <w:r>
        <w:rPr>
          <w:rFonts w:ascii="Times New Roman" w:hAnsi="Times New Roman"/>
          <w:sz w:val="24"/>
          <w:szCs w:val="24"/>
        </w:rPr>
        <w:t>другие расходы</w:t>
      </w:r>
      <w:r>
        <w:rPr>
          <w:rFonts w:hint="default" w:ascii="Times New Roman" w:hAnsi="Times New Roman"/>
          <w:sz w:val="24"/>
          <w:szCs w:val="24"/>
          <w:lang w:val="ru-RU"/>
        </w:rPr>
        <w:t>.</w:t>
      </w:r>
    </w:p>
    <w:p w14:paraId="7A267DE8">
      <w:pPr>
        <w:pStyle w:val="8"/>
        <w:shd w:val="clear" w:color="auto" w:fill="auto"/>
        <w:tabs>
          <w:tab w:val="decimal" w:pos="426"/>
        </w:tabs>
        <w:spacing w:before="0" w:after="0" w:line="276" w:lineRule="auto"/>
        <w:ind w:right="20"/>
        <w:rPr>
          <w:rFonts w:hint="default" w:ascii="Times New Roman" w:hAnsi="Times New Roman"/>
          <w:sz w:val="24"/>
          <w:szCs w:val="24"/>
          <w:lang w:val="ru-RU"/>
        </w:rPr>
      </w:pPr>
    </w:p>
    <w:p w14:paraId="11D4E7B1">
      <w:pPr>
        <w:pStyle w:val="8"/>
        <w:shd w:val="clear" w:color="auto" w:fill="auto"/>
        <w:tabs>
          <w:tab w:val="decimal" w:pos="426"/>
        </w:tabs>
        <w:spacing w:before="0" w:after="0" w:line="276" w:lineRule="auto"/>
        <w:ind w:right="20" w:firstLine="360" w:firstLineChars="150"/>
        <w:rPr>
          <w:rFonts w:ascii="Times New Roman" w:hAnsi="Times New Roman"/>
          <w:sz w:val="24"/>
          <w:szCs w:val="24"/>
        </w:rPr>
      </w:pPr>
      <w:r>
        <w:rPr>
          <w:rFonts w:ascii="Times New Roman" w:hAnsi="Times New Roman"/>
          <w:b/>
          <w:sz w:val="24"/>
          <w:szCs w:val="24"/>
        </w:rPr>
        <w:t>1</w:t>
      </w:r>
      <w:r>
        <w:rPr>
          <w:rFonts w:hint="default" w:ascii="Times New Roman" w:hAnsi="Times New Roman"/>
          <w:b/>
          <w:sz w:val="24"/>
          <w:szCs w:val="24"/>
          <w:lang w:val="ru-RU"/>
        </w:rPr>
        <w:t>1</w:t>
      </w:r>
      <w:r>
        <w:rPr>
          <w:rFonts w:ascii="Times New Roman" w:hAnsi="Times New Roman"/>
          <w:sz w:val="24"/>
          <w:szCs w:val="24"/>
        </w:rPr>
        <w:t xml:space="preserve">.Приложением № 6 к Проекту бюджета представлена ведомственная структура расходов проекта бюджета муниципального округа на 2026 год. </w:t>
      </w:r>
    </w:p>
    <w:p w14:paraId="6C0F8EE4">
      <w:pPr>
        <w:pStyle w:val="8"/>
        <w:shd w:val="clear" w:color="auto" w:fill="auto"/>
        <w:tabs>
          <w:tab w:val="left" w:pos="426"/>
        </w:tabs>
        <w:spacing w:before="0" w:after="0" w:line="276" w:lineRule="auto"/>
        <w:ind w:right="20"/>
        <w:jc w:val="both"/>
        <w:rPr>
          <w:rFonts w:ascii="Times New Roman" w:hAnsi="Times New Roman"/>
          <w:b/>
          <w:sz w:val="24"/>
          <w:szCs w:val="24"/>
        </w:rPr>
      </w:pPr>
      <w:r>
        <w:rPr>
          <w:rFonts w:ascii="Times New Roman" w:hAnsi="Times New Roman"/>
          <w:b/>
          <w:sz w:val="24"/>
          <w:szCs w:val="24"/>
        </w:rPr>
        <w:t xml:space="preserve">      1</w:t>
      </w:r>
      <w:r>
        <w:rPr>
          <w:rFonts w:hint="default" w:ascii="Times New Roman" w:hAnsi="Times New Roman"/>
          <w:b/>
          <w:sz w:val="24"/>
          <w:szCs w:val="24"/>
          <w:lang w:val="ru-RU"/>
        </w:rPr>
        <w:t>2</w:t>
      </w:r>
      <w:r>
        <w:rPr>
          <w:rFonts w:ascii="Times New Roman" w:hAnsi="Times New Roman"/>
          <w:sz w:val="24"/>
          <w:szCs w:val="24"/>
        </w:rPr>
        <w:t>.В  проекте  бюджета Дульдургинского муниципального округа на 2026год и плановый период 2027 и 2028 годов не запланированы средства на реализацию ни одной  муниципальной программы.</w:t>
      </w:r>
      <w:r>
        <w:rPr>
          <w:rFonts w:ascii="Times New Roman" w:hAnsi="Times New Roman"/>
          <w:b/>
          <w:sz w:val="24"/>
          <w:szCs w:val="24"/>
        </w:rPr>
        <w:t xml:space="preserve">       </w:t>
      </w:r>
    </w:p>
    <w:p w14:paraId="59ED8905">
      <w:pPr>
        <w:pStyle w:val="8"/>
        <w:shd w:val="clear" w:color="auto" w:fill="auto"/>
        <w:tabs>
          <w:tab w:val="left" w:pos="400"/>
          <w:tab w:val="left" w:pos="426"/>
        </w:tabs>
        <w:spacing w:before="0" w:after="0" w:line="276" w:lineRule="auto"/>
        <w:ind w:right="20"/>
        <w:jc w:val="both"/>
        <w:rPr>
          <w:rFonts w:ascii="Times New Roman" w:hAnsi="Times New Roman"/>
          <w:sz w:val="24"/>
          <w:szCs w:val="24"/>
        </w:rPr>
      </w:pPr>
      <w:r>
        <w:rPr>
          <w:rFonts w:ascii="Times New Roman" w:hAnsi="Times New Roman"/>
          <w:b/>
          <w:sz w:val="24"/>
          <w:szCs w:val="24"/>
        </w:rPr>
        <w:t xml:space="preserve">     </w:t>
      </w:r>
      <w:r>
        <w:rPr>
          <w:rFonts w:hint="default" w:ascii="Times New Roman" w:hAnsi="Times New Roman"/>
          <w:b/>
          <w:sz w:val="24"/>
          <w:szCs w:val="24"/>
          <w:lang w:val="ru-RU"/>
        </w:rPr>
        <w:t xml:space="preserve"> </w:t>
      </w:r>
      <w:r>
        <w:rPr>
          <w:rFonts w:ascii="Times New Roman" w:hAnsi="Times New Roman"/>
          <w:b/>
          <w:sz w:val="24"/>
          <w:szCs w:val="24"/>
        </w:rPr>
        <w:t>1</w:t>
      </w:r>
      <w:r>
        <w:rPr>
          <w:rFonts w:hint="default" w:ascii="Times New Roman" w:hAnsi="Times New Roman"/>
          <w:b/>
          <w:sz w:val="24"/>
          <w:szCs w:val="24"/>
          <w:lang w:val="ru-RU"/>
        </w:rPr>
        <w:t>3</w:t>
      </w:r>
      <w:r>
        <w:rPr>
          <w:rFonts w:ascii="Times New Roman" w:hAnsi="Times New Roman"/>
          <w:sz w:val="24"/>
          <w:szCs w:val="24"/>
        </w:rPr>
        <w:t>. В расходной части бюджета округа предусматривается резервный фонд Дульдургинского округа, размер которого соответствует требованиям статьи 81 БК РФ  и Положением о Бюджетном процессе в Дульдургинском районе и не превышает установленного ограничения в размере 3 % расходов бюджета.</w:t>
      </w:r>
    </w:p>
    <w:p w14:paraId="08AE7390">
      <w:pPr>
        <w:tabs>
          <w:tab w:val="left" w:pos="400"/>
          <w:tab w:val="left" w:pos="426"/>
        </w:tabs>
        <w:spacing w:line="276" w:lineRule="auto"/>
        <w:rPr>
          <w:sz w:val="24"/>
        </w:rPr>
      </w:pPr>
      <w:r>
        <w:rPr>
          <w:b/>
          <w:sz w:val="24"/>
        </w:rPr>
        <w:t xml:space="preserve">     </w:t>
      </w:r>
      <w:r>
        <w:rPr>
          <w:rFonts w:hint="default"/>
          <w:b/>
          <w:sz w:val="24"/>
          <w:lang w:val="ru-RU"/>
        </w:rPr>
        <w:t xml:space="preserve"> </w:t>
      </w:r>
      <w:r>
        <w:rPr>
          <w:b/>
          <w:sz w:val="24"/>
        </w:rPr>
        <w:t>1</w:t>
      </w:r>
      <w:r>
        <w:rPr>
          <w:rFonts w:hint="default"/>
          <w:b/>
          <w:sz w:val="24"/>
          <w:lang w:val="ru-RU"/>
        </w:rPr>
        <w:t>4</w:t>
      </w:r>
      <w:r>
        <w:rPr>
          <w:sz w:val="24"/>
        </w:rPr>
        <w:t>.Предельный объем расходов на обслуживание  муниципального долга</w:t>
      </w:r>
    </w:p>
    <w:p w14:paraId="2794209F">
      <w:pPr>
        <w:spacing w:line="276" w:lineRule="auto"/>
        <w:rPr>
          <w:sz w:val="24"/>
        </w:rPr>
      </w:pPr>
      <w:r>
        <w:rPr>
          <w:sz w:val="24"/>
        </w:rPr>
        <w:t>Дульдургинского округа установлен  в сумме 2,6 тыс. рублей в 2026 году, что не противоречит условиям, установленным ст.111 БК РФ.</w:t>
      </w:r>
    </w:p>
    <w:p w14:paraId="78B44E46">
      <w:pPr>
        <w:tabs>
          <w:tab w:val="left" w:pos="426"/>
        </w:tabs>
        <w:spacing w:line="276" w:lineRule="auto"/>
        <w:ind w:right="20"/>
        <w:rPr>
          <w:sz w:val="24"/>
        </w:rPr>
      </w:pPr>
      <w:r>
        <w:rPr>
          <w:b/>
          <w:sz w:val="24"/>
        </w:rPr>
        <w:t xml:space="preserve">      1</w:t>
      </w:r>
      <w:r>
        <w:rPr>
          <w:rFonts w:hint="default"/>
          <w:b/>
          <w:sz w:val="24"/>
          <w:lang w:val="ru-RU"/>
        </w:rPr>
        <w:t>5</w:t>
      </w:r>
      <w:r>
        <w:rPr>
          <w:sz w:val="24"/>
        </w:rPr>
        <w:t>.Установленый верхний предел муниципального внутреннего  долга</w:t>
      </w:r>
    </w:p>
    <w:p w14:paraId="382BBD74">
      <w:pPr>
        <w:spacing w:line="276" w:lineRule="auto"/>
        <w:ind w:right="20"/>
        <w:rPr>
          <w:sz w:val="24"/>
        </w:rPr>
      </w:pPr>
      <w:r>
        <w:rPr>
          <w:sz w:val="24"/>
        </w:rPr>
        <w:t>Дульдургинского района  не превышает предельные объемы, установленные</w:t>
      </w:r>
    </w:p>
    <w:p w14:paraId="010FE5E2">
      <w:pPr>
        <w:spacing w:line="276" w:lineRule="auto"/>
        <w:ind w:right="20"/>
        <w:rPr>
          <w:rFonts w:hint="default"/>
          <w:sz w:val="24"/>
          <w:szCs w:val="24"/>
          <w:lang w:val="ru-RU"/>
        </w:rPr>
      </w:pPr>
      <w:r>
        <w:rPr>
          <w:sz w:val="24"/>
        </w:rPr>
        <w:t>статьей 107 БК РФ</w:t>
      </w:r>
      <w:r>
        <w:rPr>
          <w:rFonts w:hint="default"/>
          <w:sz w:val="24"/>
          <w:lang w:val="ru-RU"/>
        </w:rPr>
        <w:t>.</w:t>
      </w:r>
    </w:p>
    <w:p w14:paraId="59F2C14D">
      <w:pPr>
        <w:pStyle w:val="8"/>
        <w:shd w:val="clear" w:color="auto" w:fill="auto"/>
        <w:tabs>
          <w:tab w:val="left" w:pos="400"/>
        </w:tabs>
        <w:spacing w:before="0" w:after="0" w:line="276" w:lineRule="auto"/>
        <w:ind w:left="20" w:leftChars="0" w:right="20" w:hanging="20" w:firstLineChars="0"/>
        <w:rPr>
          <w:rFonts w:ascii="Times New Roman" w:hAnsi="Times New Roman"/>
          <w:sz w:val="24"/>
          <w:szCs w:val="24"/>
        </w:rPr>
      </w:pPr>
      <w:r>
        <w:rPr>
          <w:rFonts w:ascii="Times New Roman" w:hAnsi="Times New Roman"/>
          <w:b/>
          <w:sz w:val="24"/>
          <w:szCs w:val="24"/>
        </w:rPr>
        <w:t xml:space="preserve">      1</w:t>
      </w:r>
      <w:r>
        <w:rPr>
          <w:rFonts w:hint="default" w:ascii="Times New Roman" w:hAnsi="Times New Roman"/>
          <w:b/>
          <w:sz w:val="24"/>
          <w:szCs w:val="24"/>
          <w:lang w:val="ru-RU"/>
        </w:rPr>
        <w:t>6</w:t>
      </w:r>
      <w:r>
        <w:rPr>
          <w:rFonts w:ascii="Times New Roman" w:hAnsi="Times New Roman"/>
          <w:sz w:val="24"/>
          <w:szCs w:val="24"/>
        </w:rPr>
        <w:t>.Проектом решения о бюджете предусматривается формирование бюджета муниципального округа на 2026 год и плановый период 2027-2028 годы с профицитом в размере 1 000,0 тыс. рублей   на 2026 год – завершающая сумма уплаты основного долга по бюджетным кредитам  из бюджета  Забайкальского края.</w:t>
      </w:r>
    </w:p>
    <w:p w14:paraId="50EE9BA3">
      <w:pPr>
        <w:pStyle w:val="8"/>
        <w:shd w:val="clear" w:color="auto" w:fill="auto"/>
        <w:spacing w:before="0" w:after="0" w:line="276" w:lineRule="auto"/>
        <w:ind w:left="360" w:right="20"/>
        <w:rPr>
          <w:rFonts w:ascii="Times New Roman" w:hAnsi="Times New Roman"/>
          <w:sz w:val="24"/>
          <w:szCs w:val="24"/>
        </w:rPr>
      </w:pPr>
    </w:p>
    <w:p w14:paraId="6CD59A66">
      <w:pPr>
        <w:spacing w:line="276" w:lineRule="auto"/>
        <w:jc w:val="center"/>
        <w:rPr>
          <w:sz w:val="24"/>
        </w:rPr>
      </w:pPr>
      <w:r>
        <w:rPr>
          <w:b/>
          <w:sz w:val="24"/>
        </w:rPr>
        <w:t>ПРЕДЛОЖЕНИЯ</w:t>
      </w:r>
      <w:r>
        <w:rPr>
          <w:sz w:val="24"/>
        </w:rPr>
        <w:t>:</w:t>
      </w:r>
    </w:p>
    <w:p w14:paraId="59912141">
      <w:pPr>
        <w:pStyle w:val="11"/>
        <w:spacing w:line="276" w:lineRule="auto"/>
        <w:ind w:left="0"/>
        <w:rPr>
          <w:b/>
          <w:sz w:val="24"/>
        </w:rPr>
      </w:pPr>
      <w:r>
        <w:rPr>
          <w:b/>
          <w:sz w:val="24"/>
        </w:rPr>
        <w:t>Администрации Дульдургинского муниципального округа:</w:t>
      </w:r>
    </w:p>
    <w:p w14:paraId="2FB5B187">
      <w:pPr>
        <w:tabs>
          <w:tab w:val="decimal" w:pos="426"/>
          <w:tab w:val="left" w:pos="600"/>
          <w:tab w:val="left" w:pos="1134"/>
        </w:tabs>
        <w:spacing w:line="276" w:lineRule="auto"/>
        <w:ind w:right="20"/>
        <w:jc w:val="both"/>
        <w:rPr>
          <w:sz w:val="24"/>
          <w:szCs w:val="24"/>
        </w:rPr>
      </w:pPr>
      <w:r>
        <w:rPr>
          <w:sz w:val="24"/>
          <w:szCs w:val="24"/>
        </w:rPr>
        <w:t xml:space="preserve">      </w:t>
      </w:r>
      <w:r>
        <w:rPr>
          <w:rFonts w:hint="default"/>
          <w:sz w:val="24"/>
          <w:szCs w:val="24"/>
          <w:lang w:val="ru-RU"/>
        </w:rPr>
        <w:t xml:space="preserve">    </w:t>
      </w:r>
      <w:r>
        <w:rPr>
          <w:sz w:val="24"/>
          <w:szCs w:val="24"/>
        </w:rPr>
        <w:t>1.</w:t>
      </w:r>
      <w:r>
        <w:rPr>
          <w:rFonts w:eastAsia="Calibri"/>
          <w:sz w:val="24"/>
          <w:szCs w:val="24"/>
        </w:rPr>
        <w:t xml:space="preserve"> Предусмотреть в расходах бюджета на 2026 год средства  на реализацию муниципальных программ исходя из возможностей бюджета.</w:t>
      </w:r>
    </w:p>
    <w:p w14:paraId="58DE221B">
      <w:pPr>
        <w:spacing w:line="276" w:lineRule="auto"/>
        <w:ind w:firstLine="240" w:firstLineChars="100"/>
        <w:rPr>
          <w:sz w:val="24"/>
          <w:szCs w:val="24"/>
        </w:rPr>
      </w:pPr>
      <w:r>
        <w:rPr>
          <w:sz w:val="24"/>
          <w:szCs w:val="24"/>
        </w:rPr>
        <w:t xml:space="preserve">      2. В 2026 году </w:t>
      </w:r>
      <w:r>
        <w:rPr>
          <w:rFonts w:hint="default"/>
          <w:sz w:val="24"/>
          <w:szCs w:val="24"/>
          <w:lang w:val="ru-RU"/>
        </w:rPr>
        <w:t xml:space="preserve">для более </w:t>
      </w:r>
      <w:r>
        <w:rPr>
          <w:rFonts w:hint="default"/>
          <w:sz w:val="24"/>
          <w:szCs w:val="24"/>
        </w:rPr>
        <w:t>точного прогнозирования поступлений туристического налога на 2026-2028 годы необходимо провести детальный анализ факторов, влияющих на туристический поток на источнике Алханай</w:t>
      </w:r>
      <w:r>
        <w:rPr>
          <w:rFonts w:hint="default"/>
          <w:sz w:val="24"/>
          <w:szCs w:val="24"/>
          <w:lang w:val="ru-RU"/>
        </w:rPr>
        <w:t>,</w:t>
      </w:r>
      <w:r>
        <w:rPr>
          <w:sz w:val="24"/>
          <w:szCs w:val="24"/>
        </w:rPr>
        <w:t xml:space="preserve"> </w:t>
      </w:r>
      <w:r>
        <w:rPr>
          <w:sz w:val="24"/>
          <w:szCs w:val="24"/>
          <w:lang w:val="ru-RU"/>
        </w:rPr>
        <w:t>для</w:t>
      </w:r>
      <w:r>
        <w:rPr>
          <w:sz w:val="24"/>
          <w:szCs w:val="24"/>
        </w:rPr>
        <w:t xml:space="preserve"> внесения изменений  в доходную часть бюджета  муниципального округа по туристическому налогу в 2026 году.</w:t>
      </w:r>
    </w:p>
    <w:p w14:paraId="56939893">
      <w:pPr>
        <w:pStyle w:val="11"/>
        <w:spacing w:line="276" w:lineRule="auto"/>
        <w:ind w:left="0"/>
        <w:rPr>
          <w:b/>
          <w:sz w:val="24"/>
        </w:rPr>
      </w:pPr>
      <w:r>
        <w:rPr>
          <w:b/>
          <w:sz w:val="24"/>
        </w:rPr>
        <w:t>Совету Дульдургинск</w:t>
      </w:r>
      <w:r>
        <w:rPr>
          <w:b/>
          <w:sz w:val="24"/>
          <w:lang w:val="ru-RU"/>
        </w:rPr>
        <w:t>ого</w:t>
      </w:r>
      <w:r>
        <w:rPr>
          <w:b/>
          <w:sz w:val="24"/>
        </w:rPr>
        <w:t xml:space="preserve"> муниципального</w:t>
      </w:r>
      <w:r>
        <w:rPr>
          <w:rFonts w:hint="default"/>
          <w:b/>
          <w:sz w:val="24"/>
          <w:lang w:val="ru-RU"/>
        </w:rPr>
        <w:t xml:space="preserve"> округа</w:t>
      </w:r>
      <w:r>
        <w:rPr>
          <w:b/>
          <w:sz w:val="24"/>
        </w:rPr>
        <w:t>:</w:t>
      </w:r>
    </w:p>
    <w:p w14:paraId="77511318">
      <w:pPr>
        <w:pStyle w:val="11"/>
        <w:spacing w:line="276" w:lineRule="auto"/>
        <w:ind w:left="0"/>
        <w:jc w:val="both"/>
        <w:rPr>
          <w:sz w:val="24"/>
        </w:rPr>
      </w:pPr>
      <w:r>
        <w:rPr>
          <w:sz w:val="24"/>
        </w:rPr>
        <w:t xml:space="preserve"> рекомендует:   </w:t>
      </w:r>
    </w:p>
    <w:p w14:paraId="7C567BCC">
      <w:pPr>
        <w:pStyle w:val="11"/>
        <w:spacing w:line="276" w:lineRule="auto"/>
        <w:ind w:left="84" w:leftChars="42" w:firstLine="583" w:firstLineChars="243"/>
        <w:jc w:val="left"/>
        <w:rPr>
          <w:sz w:val="24"/>
        </w:rPr>
      </w:pPr>
      <w:r>
        <w:rPr>
          <w:sz w:val="24"/>
        </w:rPr>
        <w:t xml:space="preserve">1.При рассмотрении  проекта Решения Совета Дульдургинского </w:t>
      </w:r>
      <w:r>
        <w:rPr>
          <w:bCs/>
          <w:sz w:val="24"/>
        </w:rPr>
        <w:t xml:space="preserve">муниципального </w:t>
      </w:r>
      <w:r>
        <w:rPr>
          <w:sz w:val="24"/>
        </w:rPr>
        <w:t>округа «О бюджете</w:t>
      </w:r>
      <w:r>
        <w:rPr>
          <w:rFonts w:hint="default"/>
          <w:sz w:val="24"/>
          <w:lang w:val="ru-RU"/>
        </w:rPr>
        <w:t xml:space="preserve"> </w:t>
      </w:r>
      <w:r>
        <w:rPr>
          <w:sz w:val="24"/>
        </w:rPr>
        <w:t>Дульдургинск</w:t>
      </w:r>
      <w:r>
        <w:rPr>
          <w:sz w:val="24"/>
          <w:lang w:val="ru-RU"/>
        </w:rPr>
        <w:t>ого</w:t>
      </w:r>
      <w:r>
        <w:rPr>
          <w:sz w:val="24"/>
        </w:rPr>
        <w:t xml:space="preserve"> </w:t>
      </w:r>
      <w:r>
        <w:rPr>
          <w:sz w:val="24"/>
          <w:lang w:val="ru-RU"/>
        </w:rPr>
        <w:t>муниципального</w:t>
      </w:r>
      <w:r>
        <w:rPr>
          <w:rFonts w:hint="default"/>
          <w:sz w:val="24"/>
          <w:lang w:val="ru-RU"/>
        </w:rPr>
        <w:t xml:space="preserve"> </w:t>
      </w:r>
      <w:r>
        <w:rPr>
          <w:sz w:val="24"/>
          <w:lang w:val="ru-RU"/>
        </w:rPr>
        <w:t>округа</w:t>
      </w:r>
      <w:r>
        <w:rPr>
          <w:sz w:val="24"/>
        </w:rPr>
        <w:t xml:space="preserve"> на 2026год и плановый период 2027-202</w:t>
      </w:r>
      <w:r>
        <w:rPr>
          <w:sz w:val="24"/>
          <w:highlight w:val="none"/>
        </w:rPr>
        <w:t>8</w:t>
      </w:r>
      <w:r>
        <w:rPr>
          <w:sz w:val="24"/>
        </w:rPr>
        <w:t xml:space="preserve"> год</w:t>
      </w:r>
      <w:r>
        <w:rPr>
          <w:sz w:val="24"/>
          <w:lang w:val="ru-RU"/>
        </w:rPr>
        <w:t>ов</w:t>
      </w:r>
      <w:r>
        <w:rPr>
          <w:rFonts w:hint="default"/>
          <w:sz w:val="24"/>
          <w:lang w:val="ru-RU"/>
        </w:rPr>
        <w:t>»</w:t>
      </w:r>
      <w:r>
        <w:rPr>
          <w:sz w:val="24"/>
        </w:rPr>
        <w:t xml:space="preserve"> учесть результаты экспертизы, </w:t>
      </w:r>
      <w:r>
        <w:rPr>
          <w:sz w:val="24"/>
          <w:lang w:val="ru-RU"/>
        </w:rPr>
        <w:t>проведённой</w:t>
      </w:r>
      <w:r>
        <w:rPr>
          <w:sz w:val="24"/>
        </w:rPr>
        <w:t xml:space="preserve"> Контрольно-счетной палатой, изложенные в настоящем заключении, в том числе при подготовке поправок в начале очередного финансового года.</w:t>
      </w:r>
    </w:p>
    <w:p w14:paraId="1CD83986">
      <w:pPr>
        <w:tabs>
          <w:tab w:val="decimal" w:pos="426"/>
        </w:tabs>
        <w:spacing w:line="276" w:lineRule="auto"/>
        <w:rPr>
          <w:sz w:val="24"/>
        </w:rPr>
      </w:pPr>
    </w:p>
    <w:p w14:paraId="2E237943">
      <w:pPr>
        <w:spacing w:line="276" w:lineRule="auto"/>
        <w:rPr>
          <w:sz w:val="24"/>
        </w:rPr>
      </w:pPr>
      <w:r>
        <w:rPr>
          <w:sz w:val="24"/>
        </w:rPr>
        <w:t>Председатель контрольно-счетной палаты                                                        А.Б.Доржиева</w:t>
      </w:r>
    </w:p>
    <w:sectPr>
      <w:headerReference r:id="rId3" w:type="default"/>
      <w:footerReference r:id="rId4" w:type="default"/>
      <w:pgSz w:w="11906" w:h="16838"/>
      <w:pgMar w:top="34" w:right="851" w:bottom="1134" w:left="1843" w:header="113" w:footer="7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CYR">
    <w:altName w:val="Arial"/>
    <w:panose1 w:val="020B0604020202020204"/>
    <w:charset w:val="CC"/>
    <w:family w:val="swiss"/>
    <w:pitch w:val="default"/>
    <w:sig w:usb0="00000000" w:usb1="00000000" w:usb2="00000009" w:usb3="00000000" w:csb0="000001FF" w:csb1="00000000"/>
  </w:font>
  <w:font w:name="Wingdings">
    <w:panose1 w:val="05000000000000000000"/>
    <w:charset w:val="00"/>
    <w:family w:val="auto"/>
    <w:pitch w:val="default"/>
    <w:sig w:usb0="00000000" w:usb1="00000000" w:usb2="00000000" w:usb3="00000000" w:csb0="80000000" w:csb1="00000000"/>
  </w:font>
  <w:font w:name="Bahnschrift Condensed">
    <w:panose1 w:val="020B0502040204020203"/>
    <w:charset w:val="00"/>
    <w:family w:val="auto"/>
    <w:pitch w:val="default"/>
    <w:sig w:usb0="A00002C7" w:usb1="00000002" w:usb2="00000000" w:usb3="00000000" w:csb0="2000019F" w:csb1="00000000"/>
  </w:font>
  <w:font w:name="Bahnschrift SemiBold">
    <w:panose1 w:val="020B0502040204020203"/>
    <w:charset w:val="00"/>
    <w:family w:val="auto"/>
    <w:pitch w:val="default"/>
    <w:sig w:usb0="A00002C7" w:usb1="00000002" w:usb2="00000000" w:usb3="00000000" w:csb0="2000019F" w:csb1="00000000"/>
  </w:font>
  <w:font w:name="Bahnschrift SemiLight">
    <w:panose1 w:val="020B0502040204020203"/>
    <w:charset w:val="00"/>
    <w:family w:val="auto"/>
    <w:pitch w:val="default"/>
    <w:sig w:usb0="A00002C7" w:usb1="00000002" w:usb2="00000000" w:usb3="00000000" w:csb0="2000019F" w:csb1="00000000"/>
  </w:font>
  <w:font w:name="Book Antiqua">
    <w:panose1 w:val="02040602050305030304"/>
    <w:charset w:val="00"/>
    <w:family w:val="auto"/>
    <w:pitch w:val="default"/>
    <w:sig w:usb0="00000287" w:usb1="00000000" w:usb2="00000000" w:usb3="00000000" w:csb0="2000009F" w:csb1="DFD70000"/>
  </w:font>
  <w:font w:name="Cambria">
    <w:panose1 w:val="02040503050406030204"/>
    <w:charset w:val="00"/>
    <w:family w:val="auto"/>
    <w:pitch w:val="default"/>
    <w:sig w:usb0="E00006FF" w:usb1="420024FF" w:usb2="02000000" w:usb3="00000000" w:csb0="2000019F" w:csb1="00000000"/>
  </w:font>
  <w:font w:name="Century Gothic">
    <w:panose1 w:val="020B0502020202020204"/>
    <w:charset w:val="00"/>
    <w:family w:val="auto"/>
    <w:pitch w:val="default"/>
    <w:sig w:usb0="00000287" w:usb1="00000000" w:usb2="00000000" w:usb3="00000000" w:csb0="2000009F" w:csb1="DFD70000"/>
  </w:font>
  <w:font w:name="Corbel">
    <w:panose1 w:val="020B0503020204020204"/>
    <w:charset w:val="00"/>
    <w:family w:val="auto"/>
    <w:pitch w:val="default"/>
    <w:sig w:usb0="A00002EF" w:usb1="4000A44B" w:usb2="00000000" w:usb3="00000000" w:csb0="2000019F" w:csb1="00000000"/>
  </w:font>
  <w:font w:name="Franklin Gothic Demi Cond">
    <w:panose1 w:val="020B0706030402020204"/>
    <w:charset w:val="00"/>
    <w:family w:val="auto"/>
    <w:pitch w:val="default"/>
    <w:sig w:usb0="00000287" w:usb1="00000000" w:usb2="00000000" w:usb3="00000000" w:csb0="2000009F" w:csb1="DFD70000"/>
  </w:font>
  <w:font w:name="Garamond">
    <w:panose1 w:val="02020404030301010803"/>
    <w:charset w:val="00"/>
    <w:family w:val="auto"/>
    <w:pitch w:val="default"/>
    <w:sig w:usb0="00000287" w:usb1="00000000" w:usb2="00000000" w:usb3="00000000" w:csb0="0000009F" w:csb1="DFD70000"/>
  </w:font>
  <w:font w:name="Lucida Sans Unicode">
    <w:panose1 w:val="020B0602030504020204"/>
    <w:charset w:val="00"/>
    <w:family w:val="auto"/>
    <w:pitch w:val="default"/>
    <w:sig w:usb0="80001AFF" w:usb1="0000396B" w:usb2="00000000" w:usb3="00000000" w:csb0="200000BF" w:csb1="D7F70000"/>
  </w:font>
  <w:font w:name="Microsoft Sans Serif">
    <w:panose1 w:val="020B0604020202020204"/>
    <w:charset w:val="00"/>
    <w:family w:val="auto"/>
    <w:pitch w:val="default"/>
    <w:sig w:usb0="E5002EFF" w:usb1="C000605B" w:usb2="00000029" w:usb3="00000000" w:csb0="200101FF" w:csb1="20280000"/>
  </w:font>
  <w:font w:name="Mistral">
    <w:panose1 w:val="03090702030407020403"/>
    <w:charset w:val="00"/>
    <w:family w:val="auto"/>
    <w:pitch w:val="default"/>
    <w:sig w:usb0="00000287" w:usb1="00000000" w:usb2="00000000" w:usb3="00000000" w:csb0="2000009F" w:csb1="DFD70000"/>
  </w:font>
  <w:font w:name="NSimSun">
    <w:panose1 w:val="02010609030101010101"/>
    <w:charset w:val="86"/>
    <w:family w:val="auto"/>
    <w:pitch w:val="default"/>
    <w:sig w:usb0="00000203" w:usb1="288F0000" w:usb2="00000006" w:usb3="00000000" w:csb0="00040001" w:csb1="00000000"/>
  </w:font>
  <w:font w:name="Segoe UI Light">
    <w:panose1 w:val="020B0502040204020203"/>
    <w:charset w:val="00"/>
    <w:family w:val="auto"/>
    <w:pitch w:val="default"/>
    <w:sig w:usb0="E4002EFF" w:usb1="C000E47F" w:usb2="00000009" w:usb3="00000000" w:csb0="200001FF" w:csb1="00000000"/>
  </w:font>
  <w:font w:name="Sitka Banner">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49A96">
    <w:pPr>
      <w:pStyle w:val="9"/>
      <w:jc w:val="center"/>
    </w:pPr>
    <w:r>
      <w:t>_____________________________________________________________________________________________</w:t>
    </w:r>
  </w:p>
  <w:p w14:paraId="3FFB5804">
    <w:pPr>
      <w:pStyle w:val="9"/>
      <w:jc w:val="center"/>
    </w:pPr>
    <w:r>
      <w:fldChar w:fldCharType="begin"/>
    </w:r>
    <w:r>
      <w:instrText xml:space="preserve"> PAGE   \* MERGEFORMAT </w:instrText>
    </w:r>
    <w:r>
      <w:fldChar w:fldCharType="separate"/>
    </w:r>
    <w:r>
      <w:t>19</w:t>
    </w:r>
    <w:r>
      <w:fldChar w:fldCharType="end"/>
    </w:r>
  </w:p>
  <w:p w14:paraId="286C5E08">
    <w:pPr>
      <w:pStyle w:val="9"/>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F93B5">
    <w:pPr>
      <w:pStyle w:val="7"/>
      <w:pBdr>
        <w:bottom w:val="single" w:color="auto" w:sz="12" w:space="1"/>
      </w:pBdr>
      <w:jc w:val="center"/>
      <w:rPr>
        <w:i/>
      </w:rPr>
    </w:pPr>
    <w:r>
      <w:rPr>
        <w:i/>
      </w:rPr>
      <w:t>Заключение КСП на проект бюджета</w:t>
    </w:r>
    <w:r>
      <w:rPr>
        <w:rFonts w:hint="default"/>
        <w:i/>
        <w:lang w:val="ru-RU"/>
      </w:rPr>
      <w:t xml:space="preserve"> </w:t>
    </w:r>
    <w:r>
      <w:rPr>
        <w:i/>
      </w:rPr>
      <w:t>Дульдургинского муниципального</w:t>
    </w:r>
    <w:r>
      <w:rPr>
        <w:rFonts w:hint="default"/>
        <w:i/>
        <w:lang w:val="ru-RU"/>
      </w:rPr>
      <w:t xml:space="preserve"> </w:t>
    </w:r>
    <w:r>
      <w:rPr>
        <w:i/>
      </w:rPr>
      <w:t>округа на 2026-2028</w:t>
    </w:r>
    <w:r>
      <w:rPr>
        <w:rFonts w:hint="default"/>
        <w:i/>
        <w:lang w:val="ru-RU"/>
      </w:rPr>
      <w:t xml:space="preserve"> </w:t>
    </w:r>
    <w:r>
      <w:rPr>
        <w:i/>
      </w:rPr>
      <w:t>годы.</w:t>
    </w:r>
  </w:p>
  <w:p w14:paraId="39E276C6">
    <w:pPr>
      <w:pStyle w:val="7"/>
      <w:jc w:val="center"/>
    </w:pPr>
  </w:p>
  <w:p w14:paraId="3FF3529C">
    <w:pPr>
      <w:pStyle w:val="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7BC89C"/>
    <w:multiLevelType w:val="singleLevel"/>
    <w:tmpl w:val="E47BC89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E4C27C2"/>
    <w:multiLevelType w:val="multilevel"/>
    <w:tmpl w:val="0E4C27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FAA10F7"/>
    <w:multiLevelType w:val="multilevel"/>
    <w:tmpl w:val="0FAA10F7"/>
    <w:lvl w:ilvl="0" w:tentative="0">
      <w:start w:val="1"/>
      <w:numFmt w:val="bullet"/>
      <w:lvlText w:val=""/>
      <w:lvlJc w:val="left"/>
      <w:pPr>
        <w:ind w:left="767" w:hanging="360"/>
      </w:pPr>
      <w:rPr>
        <w:rFonts w:hint="default" w:ascii="Symbol" w:hAnsi="Symbol"/>
      </w:rPr>
    </w:lvl>
    <w:lvl w:ilvl="1" w:tentative="0">
      <w:start w:val="1"/>
      <w:numFmt w:val="bullet"/>
      <w:lvlText w:val="o"/>
      <w:lvlJc w:val="left"/>
      <w:pPr>
        <w:ind w:left="1487" w:hanging="360"/>
      </w:pPr>
      <w:rPr>
        <w:rFonts w:hint="default" w:ascii="Courier New" w:hAnsi="Courier New" w:cs="Courier New"/>
      </w:rPr>
    </w:lvl>
    <w:lvl w:ilvl="2" w:tentative="0">
      <w:start w:val="1"/>
      <w:numFmt w:val="bullet"/>
      <w:lvlText w:val=""/>
      <w:lvlJc w:val="left"/>
      <w:pPr>
        <w:ind w:left="2207" w:hanging="360"/>
      </w:pPr>
      <w:rPr>
        <w:rFonts w:hint="default" w:ascii="Wingdings" w:hAnsi="Wingdings"/>
      </w:rPr>
    </w:lvl>
    <w:lvl w:ilvl="3" w:tentative="0">
      <w:start w:val="1"/>
      <w:numFmt w:val="bullet"/>
      <w:lvlText w:val=""/>
      <w:lvlJc w:val="left"/>
      <w:pPr>
        <w:ind w:left="2927" w:hanging="360"/>
      </w:pPr>
      <w:rPr>
        <w:rFonts w:hint="default" w:ascii="Symbol" w:hAnsi="Symbol"/>
      </w:rPr>
    </w:lvl>
    <w:lvl w:ilvl="4" w:tentative="0">
      <w:start w:val="1"/>
      <w:numFmt w:val="bullet"/>
      <w:lvlText w:val="o"/>
      <w:lvlJc w:val="left"/>
      <w:pPr>
        <w:ind w:left="3647" w:hanging="360"/>
      </w:pPr>
      <w:rPr>
        <w:rFonts w:hint="default" w:ascii="Courier New" w:hAnsi="Courier New" w:cs="Courier New"/>
      </w:rPr>
    </w:lvl>
    <w:lvl w:ilvl="5" w:tentative="0">
      <w:start w:val="1"/>
      <w:numFmt w:val="bullet"/>
      <w:lvlText w:val=""/>
      <w:lvlJc w:val="left"/>
      <w:pPr>
        <w:ind w:left="4367" w:hanging="360"/>
      </w:pPr>
      <w:rPr>
        <w:rFonts w:hint="default" w:ascii="Wingdings" w:hAnsi="Wingdings"/>
      </w:rPr>
    </w:lvl>
    <w:lvl w:ilvl="6" w:tentative="0">
      <w:start w:val="1"/>
      <w:numFmt w:val="bullet"/>
      <w:lvlText w:val=""/>
      <w:lvlJc w:val="left"/>
      <w:pPr>
        <w:ind w:left="5087" w:hanging="360"/>
      </w:pPr>
      <w:rPr>
        <w:rFonts w:hint="default" w:ascii="Symbol" w:hAnsi="Symbol"/>
      </w:rPr>
    </w:lvl>
    <w:lvl w:ilvl="7" w:tentative="0">
      <w:start w:val="1"/>
      <w:numFmt w:val="bullet"/>
      <w:lvlText w:val="o"/>
      <w:lvlJc w:val="left"/>
      <w:pPr>
        <w:ind w:left="5807" w:hanging="360"/>
      </w:pPr>
      <w:rPr>
        <w:rFonts w:hint="default" w:ascii="Courier New" w:hAnsi="Courier New" w:cs="Courier New"/>
      </w:rPr>
    </w:lvl>
    <w:lvl w:ilvl="8" w:tentative="0">
      <w:start w:val="1"/>
      <w:numFmt w:val="bullet"/>
      <w:lvlText w:val=""/>
      <w:lvlJc w:val="left"/>
      <w:pPr>
        <w:ind w:left="6527" w:hanging="360"/>
      </w:pPr>
      <w:rPr>
        <w:rFonts w:hint="default" w:ascii="Wingdings" w:hAnsi="Wingdings"/>
      </w:rPr>
    </w:lvl>
  </w:abstractNum>
  <w:abstractNum w:abstractNumId="3">
    <w:nsid w:val="15076D44"/>
    <w:multiLevelType w:val="multilevel"/>
    <w:tmpl w:val="15076D44"/>
    <w:lvl w:ilvl="0" w:tentative="0">
      <w:start w:val="1"/>
      <w:numFmt w:val="bullet"/>
      <w:lvlText w:val=""/>
      <w:lvlJc w:val="left"/>
      <w:pPr>
        <w:ind w:left="1360" w:hanging="360"/>
      </w:pPr>
      <w:rPr>
        <w:rFonts w:hint="default" w:ascii="Symbol" w:hAnsi="Symbol"/>
        <w:color w:val="auto"/>
        <w:highlight w:val="none"/>
      </w:rPr>
    </w:lvl>
    <w:lvl w:ilvl="1" w:tentative="0">
      <w:start w:val="1"/>
      <w:numFmt w:val="bullet"/>
      <w:lvlText w:val="o"/>
      <w:lvlJc w:val="left"/>
      <w:pPr>
        <w:ind w:left="2080" w:hanging="360"/>
      </w:pPr>
      <w:rPr>
        <w:rFonts w:hint="default" w:ascii="Courier New" w:hAnsi="Courier New" w:cs="Courier New"/>
      </w:rPr>
    </w:lvl>
    <w:lvl w:ilvl="2" w:tentative="0">
      <w:start w:val="1"/>
      <w:numFmt w:val="bullet"/>
      <w:lvlText w:val=""/>
      <w:lvlJc w:val="left"/>
      <w:pPr>
        <w:ind w:left="2800" w:hanging="360"/>
      </w:pPr>
      <w:rPr>
        <w:rFonts w:hint="default" w:ascii="Wingdings" w:hAnsi="Wingdings"/>
      </w:rPr>
    </w:lvl>
    <w:lvl w:ilvl="3" w:tentative="0">
      <w:start w:val="1"/>
      <w:numFmt w:val="bullet"/>
      <w:lvlText w:val=""/>
      <w:lvlJc w:val="left"/>
      <w:pPr>
        <w:ind w:left="3520" w:hanging="360"/>
      </w:pPr>
      <w:rPr>
        <w:rFonts w:hint="default" w:ascii="Symbol" w:hAnsi="Symbol"/>
      </w:rPr>
    </w:lvl>
    <w:lvl w:ilvl="4" w:tentative="0">
      <w:start w:val="1"/>
      <w:numFmt w:val="bullet"/>
      <w:lvlText w:val="o"/>
      <w:lvlJc w:val="left"/>
      <w:pPr>
        <w:ind w:left="4240" w:hanging="360"/>
      </w:pPr>
      <w:rPr>
        <w:rFonts w:hint="default" w:ascii="Courier New" w:hAnsi="Courier New" w:cs="Courier New"/>
      </w:rPr>
    </w:lvl>
    <w:lvl w:ilvl="5" w:tentative="0">
      <w:start w:val="1"/>
      <w:numFmt w:val="bullet"/>
      <w:lvlText w:val=""/>
      <w:lvlJc w:val="left"/>
      <w:pPr>
        <w:ind w:left="4960" w:hanging="360"/>
      </w:pPr>
      <w:rPr>
        <w:rFonts w:hint="default" w:ascii="Wingdings" w:hAnsi="Wingdings"/>
      </w:rPr>
    </w:lvl>
    <w:lvl w:ilvl="6" w:tentative="0">
      <w:start w:val="1"/>
      <w:numFmt w:val="bullet"/>
      <w:lvlText w:val=""/>
      <w:lvlJc w:val="left"/>
      <w:pPr>
        <w:ind w:left="5680" w:hanging="360"/>
      </w:pPr>
      <w:rPr>
        <w:rFonts w:hint="default" w:ascii="Symbol" w:hAnsi="Symbol"/>
      </w:rPr>
    </w:lvl>
    <w:lvl w:ilvl="7" w:tentative="0">
      <w:start w:val="1"/>
      <w:numFmt w:val="bullet"/>
      <w:lvlText w:val="o"/>
      <w:lvlJc w:val="left"/>
      <w:pPr>
        <w:ind w:left="6400" w:hanging="360"/>
      </w:pPr>
      <w:rPr>
        <w:rFonts w:hint="default" w:ascii="Courier New" w:hAnsi="Courier New" w:cs="Courier New"/>
      </w:rPr>
    </w:lvl>
    <w:lvl w:ilvl="8" w:tentative="0">
      <w:start w:val="1"/>
      <w:numFmt w:val="bullet"/>
      <w:lvlText w:val=""/>
      <w:lvlJc w:val="left"/>
      <w:pPr>
        <w:ind w:left="7120" w:hanging="360"/>
      </w:pPr>
      <w:rPr>
        <w:rFonts w:hint="default" w:ascii="Wingdings" w:hAnsi="Wingdings"/>
      </w:rPr>
    </w:lvl>
  </w:abstractNum>
  <w:abstractNum w:abstractNumId="4">
    <w:nsid w:val="36022215"/>
    <w:multiLevelType w:val="multilevel"/>
    <w:tmpl w:val="36022215"/>
    <w:lvl w:ilvl="0" w:tentative="0">
      <w:start w:val="1"/>
      <w:numFmt w:val="bullet"/>
      <w:lvlText w:val=""/>
      <w:lvlJc w:val="left"/>
      <w:pPr>
        <w:ind w:left="1069" w:hanging="360"/>
      </w:pPr>
      <w:rPr>
        <w:rFonts w:hint="default" w:ascii="Symbol" w:hAnsi="Symbol"/>
        <w:highlight w:val="none"/>
      </w:rPr>
    </w:lvl>
    <w:lvl w:ilvl="1" w:tentative="0">
      <w:start w:val="1"/>
      <w:numFmt w:val="bullet"/>
      <w:lvlText w:val="o"/>
      <w:lvlJc w:val="left"/>
      <w:pPr>
        <w:ind w:left="1789" w:hanging="360"/>
      </w:pPr>
      <w:rPr>
        <w:rFonts w:hint="default" w:ascii="Courier New" w:hAnsi="Courier New" w:cs="Courier New"/>
      </w:rPr>
    </w:lvl>
    <w:lvl w:ilvl="2" w:tentative="0">
      <w:start w:val="1"/>
      <w:numFmt w:val="bullet"/>
      <w:lvlText w:val=""/>
      <w:lvlJc w:val="left"/>
      <w:pPr>
        <w:ind w:left="2509" w:hanging="360"/>
      </w:pPr>
      <w:rPr>
        <w:rFonts w:hint="default" w:ascii="Wingdings" w:hAnsi="Wingdings"/>
      </w:rPr>
    </w:lvl>
    <w:lvl w:ilvl="3" w:tentative="0">
      <w:start w:val="1"/>
      <w:numFmt w:val="bullet"/>
      <w:lvlText w:val=""/>
      <w:lvlJc w:val="left"/>
      <w:pPr>
        <w:ind w:left="3229" w:hanging="360"/>
      </w:pPr>
      <w:rPr>
        <w:rFonts w:hint="default" w:ascii="Symbol" w:hAnsi="Symbol"/>
      </w:rPr>
    </w:lvl>
    <w:lvl w:ilvl="4" w:tentative="0">
      <w:start w:val="1"/>
      <w:numFmt w:val="bullet"/>
      <w:lvlText w:val="o"/>
      <w:lvlJc w:val="left"/>
      <w:pPr>
        <w:ind w:left="3949" w:hanging="360"/>
      </w:pPr>
      <w:rPr>
        <w:rFonts w:hint="default" w:ascii="Courier New" w:hAnsi="Courier New" w:cs="Courier New"/>
      </w:rPr>
    </w:lvl>
    <w:lvl w:ilvl="5" w:tentative="0">
      <w:start w:val="1"/>
      <w:numFmt w:val="bullet"/>
      <w:lvlText w:val=""/>
      <w:lvlJc w:val="left"/>
      <w:pPr>
        <w:ind w:left="4669" w:hanging="360"/>
      </w:pPr>
      <w:rPr>
        <w:rFonts w:hint="default" w:ascii="Wingdings" w:hAnsi="Wingdings"/>
      </w:rPr>
    </w:lvl>
    <w:lvl w:ilvl="6" w:tentative="0">
      <w:start w:val="1"/>
      <w:numFmt w:val="bullet"/>
      <w:lvlText w:val=""/>
      <w:lvlJc w:val="left"/>
      <w:pPr>
        <w:ind w:left="5389" w:hanging="360"/>
      </w:pPr>
      <w:rPr>
        <w:rFonts w:hint="default" w:ascii="Symbol" w:hAnsi="Symbol"/>
      </w:rPr>
    </w:lvl>
    <w:lvl w:ilvl="7" w:tentative="0">
      <w:start w:val="1"/>
      <w:numFmt w:val="bullet"/>
      <w:lvlText w:val="o"/>
      <w:lvlJc w:val="left"/>
      <w:pPr>
        <w:ind w:left="6109" w:hanging="360"/>
      </w:pPr>
      <w:rPr>
        <w:rFonts w:hint="default" w:ascii="Courier New" w:hAnsi="Courier New" w:cs="Courier New"/>
      </w:rPr>
    </w:lvl>
    <w:lvl w:ilvl="8" w:tentative="0">
      <w:start w:val="1"/>
      <w:numFmt w:val="bullet"/>
      <w:lvlText w:val=""/>
      <w:lvlJc w:val="left"/>
      <w:pPr>
        <w:ind w:left="6829" w:hanging="360"/>
      </w:pPr>
      <w:rPr>
        <w:rFonts w:hint="default" w:ascii="Wingdings" w:hAnsi="Wingdings"/>
      </w:rPr>
    </w:lvl>
  </w:abstractNum>
  <w:abstractNum w:abstractNumId="5">
    <w:nsid w:val="51BE3B86"/>
    <w:multiLevelType w:val="multilevel"/>
    <w:tmpl w:val="51BE3B8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52D5018A"/>
    <w:multiLevelType w:val="multilevel"/>
    <w:tmpl w:val="52D5018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7">
    <w:nsid w:val="54D364DA"/>
    <w:multiLevelType w:val="multilevel"/>
    <w:tmpl w:val="54D364DA"/>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5B3D9964"/>
    <w:multiLevelType w:val="singleLevel"/>
    <w:tmpl w:val="5B3D996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683917B6"/>
    <w:multiLevelType w:val="multilevel"/>
    <w:tmpl w:val="683917B6"/>
    <w:lvl w:ilvl="0" w:tentative="0">
      <w:start w:val="1"/>
      <w:numFmt w:val="bullet"/>
      <w:lvlText w:val=""/>
      <w:lvlJc w:val="left"/>
      <w:pPr>
        <w:ind w:left="1115" w:hanging="360"/>
      </w:pPr>
      <w:rPr>
        <w:rFonts w:hint="default" w:ascii="Symbol" w:hAnsi="Symbol"/>
      </w:rPr>
    </w:lvl>
    <w:lvl w:ilvl="1" w:tentative="0">
      <w:start w:val="1"/>
      <w:numFmt w:val="bullet"/>
      <w:lvlText w:val="o"/>
      <w:lvlJc w:val="left"/>
      <w:pPr>
        <w:ind w:left="1835" w:hanging="360"/>
      </w:pPr>
      <w:rPr>
        <w:rFonts w:hint="default" w:ascii="Courier New" w:hAnsi="Courier New" w:cs="Courier New"/>
      </w:rPr>
    </w:lvl>
    <w:lvl w:ilvl="2" w:tentative="0">
      <w:start w:val="1"/>
      <w:numFmt w:val="bullet"/>
      <w:lvlText w:val=""/>
      <w:lvlJc w:val="left"/>
      <w:pPr>
        <w:ind w:left="2555" w:hanging="360"/>
      </w:pPr>
      <w:rPr>
        <w:rFonts w:hint="default" w:ascii="Wingdings" w:hAnsi="Wingdings"/>
      </w:rPr>
    </w:lvl>
    <w:lvl w:ilvl="3" w:tentative="0">
      <w:start w:val="1"/>
      <w:numFmt w:val="bullet"/>
      <w:lvlText w:val=""/>
      <w:lvlJc w:val="left"/>
      <w:pPr>
        <w:ind w:left="3275" w:hanging="360"/>
      </w:pPr>
      <w:rPr>
        <w:rFonts w:hint="default" w:ascii="Symbol" w:hAnsi="Symbol"/>
      </w:rPr>
    </w:lvl>
    <w:lvl w:ilvl="4" w:tentative="0">
      <w:start w:val="1"/>
      <w:numFmt w:val="bullet"/>
      <w:lvlText w:val="o"/>
      <w:lvlJc w:val="left"/>
      <w:pPr>
        <w:ind w:left="3995" w:hanging="360"/>
      </w:pPr>
      <w:rPr>
        <w:rFonts w:hint="default" w:ascii="Courier New" w:hAnsi="Courier New" w:cs="Courier New"/>
      </w:rPr>
    </w:lvl>
    <w:lvl w:ilvl="5" w:tentative="0">
      <w:start w:val="1"/>
      <w:numFmt w:val="bullet"/>
      <w:lvlText w:val=""/>
      <w:lvlJc w:val="left"/>
      <w:pPr>
        <w:ind w:left="4715" w:hanging="360"/>
      </w:pPr>
      <w:rPr>
        <w:rFonts w:hint="default" w:ascii="Wingdings" w:hAnsi="Wingdings"/>
      </w:rPr>
    </w:lvl>
    <w:lvl w:ilvl="6" w:tentative="0">
      <w:start w:val="1"/>
      <w:numFmt w:val="bullet"/>
      <w:lvlText w:val=""/>
      <w:lvlJc w:val="left"/>
      <w:pPr>
        <w:ind w:left="5435" w:hanging="360"/>
      </w:pPr>
      <w:rPr>
        <w:rFonts w:hint="default" w:ascii="Symbol" w:hAnsi="Symbol"/>
      </w:rPr>
    </w:lvl>
    <w:lvl w:ilvl="7" w:tentative="0">
      <w:start w:val="1"/>
      <w:numFmt w:val="bullet"/>
      <w:lvlText w:val="o"/>
      <w:lvlJc w:val="left"/>
      <w:pPr>
        <w:ind w:left="6155" w:hanging="360"/>
      </w:pPr>
      <w:rPr>
        <w:rFonts w:hint="default" w:ascii="Courier New" w:hAnsi="Courier New" w:cs="Courier New"/>
      </w:rPr>
    </w:lvl>
    <w:lvl w:ilvl="8" w:tentative="0">
      <w:start w:val="1"/>
      <w:numFmt w:val="bullet"/>
      <w:lvlText w:val=""/>
      <w:lvlJc w:val="left"/>
      <w:pPr>
        <w:ind w:left="6875" w:hanging="360"/>
      </w:pPr>
      <w:rPr>
        <w:rFonts w:hint="default" w:ascii="Wingdings" w:hAnsi="Wingdings"/>
      </w:rPr>
    </w:lvl>
  </w:abstractNum>
  <w:abstractNum w:abstractNumId="10">
    <w:nsid w:val="695936DC"/>
    <w:multiLevelType w:val="multilevel"/>
    <w:tmpl w:val="695936DC"/>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1">
    <w:nsid w:val="6A0B0637"/>
    <w:multiLevelType w:val="multilevel"/>
    <w:tmpl w:val="6A0B063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
  </w:num>
  <w:num w:numId="2">
    <w:abstractNumId w:val="1"/>
  </w:num>
  <w:num w:numId="3">
    <w:abstractNumId w:val="8"/>
  </w:num>
  <w:num w:numId="4">
    <w:abstractNumId w:val="0"/>
  </w:num>
  <w:num w:numId="5">
    <w:abstractNumId w:val="3"/>
  </w:num>
  <w:num w:numId="6">
    <w:abstractNumId w:val="9"/>
  </w:num>
  <w:num w:numId="7">
    <w:abstractNumId w:val="7"/>
  </w:num>
  <w:num w:numId="8">
    <w:abstractNumId w:val="10"/>
  </w:num>
  <w:num w:numId="9">
    <w:abstractNumId w:val="4"/>
  </w:num>
  <w:num w:numId="10">
    <w:abstractNumId w:val="2"/>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1"/>
  <w:documentProtection w:enforcement="0"/>
  <w:defaultTabStop w:val="709"/>
  <w:drawingGridHorizontalSpacing w:val="181"/>
  <w:drawingGridVerticalSpacing w:val="181"/>
  <w:doNotUseMarginsForDrawingGridOrigin w:val="1"/>
  <w:drawingGridHorizontalOrigin w:val="1979"/>
  <w:drawingGridVerticalOrigin w:val="34"/>
  <w:noPunctuationKerning w:val="1"/>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0EB"/>
    <w:rsid w:val="0000173B"/>
    <w:rsid w:val="00002F55"/>
    <w:rsid w:val="00002F9E"/>
    <w:rsid w:val="00004541"/>
    <w:rsid w:val="00005556"/>
    <w:rsid w:val="0000652A"/>
    <w:rsid w:val="0000703D"/>
    <w:rsid w:val="00007104"/>
    <w:rsid w:val="000078A8"/>
    <w:rsid w:val="00007EF4"/>
    <w:rsid w:val="00010012"/>
    <w:rsid w:val="0001003A"/>
    <w:rsid w:val="00010BA0"/>
    <w:rsid w:val="00010C25"/>
    <w:rsid w:val="0001115B"/>
    <w:rsid w:val="000114D1"/>
    <w:rsid w:val="00012BF6"/>
    <w:rsid w:val="00012D08"/>
    <w:rsid w:val="000137B1"/>
    <w:rsid w:val="00013A98"/>
    <w:rsid w:val="00013C0B"/>
    <w:rsid w:val="000146E5"/>
    <w:rsid w:val="0001475D"/>
    <w:rsid w:val="00014951"/>
    <w:rsid w:val="00016931"/>
    <w:rsid w:val="00016D9E"/>
    <w:rsid w:val="00017493"/>
    <w:rsid w:val="00017835"/>
    <w:rsid w:val="00017F90"/>
    <w:rsid w:val="000202B8"/>
    <w:rsid w:val="0002048F"/>
    <w:rsid w:val="000205C4"/>
    <w:rsid w:val="00020624"/>
    <w:rsid w:val="000218F4"/>
    <w:rsid w:val="00021AFA"/>
    <w:rsid w:val="00021C2A"/>
    <w:rsid w:val="000227F9"/>
    <w:rsid w:val="000229CE"/>
    <w:rsid w:val="00022A16"/>
    <w:rsid w:val="00023FFF"/>
    <w:rsid w:val="0002412C"/>
    <w:rsid w:val="000244D2"/>
    <w:rsid w:val="0002547D"/>
    <w:rsid w:val="00025612"/>
    <w:rsid w:val="0002563B"/>
    <w:rsid w:val="00025D5D"/>
    <w:rsid w:val="00025E51"/>
    <w:rsid w:val="00026396"/>
    <w:rsid w:val="00026614"/>
    <w:rsid w:val="00027366"/>
    <w:rsid w:val="00027BF4"/>
    <w:rsid w:val="00027D10"/>
    <w:rsid w:val="00030B33"/>
    <w:rsid w:val="00031099"/>
    <w:rsid w:val="00031420"/>
    <w:rsid w:val="00031645"/>
    <w:rsid w:val="0003169A"/>
    <w:rsid w:val="000320AA"/>
    <w:rsid w:val="00034197"/>
    <w:rsid w:val="000343A5"/>
    <w:rsid w:val="00034B62"/>
    <w:rsid w:val="0003572F"/>
    <w:rsid w:val="00036B76"/>
    <w:rsid w:val="0003772A"/>
    <w:rsid w:val="00037A95"/>
    <w:rsid w:val="00037F0C"/>
    <w:rsid w:val="0004056C"/>
    <w:rsid w:val="0004161C"/>
    <w:rsid w:val="0004188A"/>
    <w:rsid w:val="00042740"/>
    <w:rsid w:val="00043390"/>
    <w:rsid w:val="000436FA"/>
    <w:rsid w:val="00043F88"/>
    <w:rsid w:val="00044512"/>
    <w:rsid w:val="000461C8"/>
    <w:rsid w:val="00051E0C"/>
    <w:rsid w:val="000529C2"/>
    <w:rsid w:val="00053500"/>
    <w:rsid w:val="0005360D"/>
    <w:rsid w:val="000544F5"/>
    <w:rsid w:val="000556A9"/>
    <w:rsid w:val="00055AEF"/>
    <w:rsid w:val="00056980"/>
    <w:rsid w:val="00056F0B"/>
    <w:rsid w:val="000574F0"/>
    <w:rsid w:val="00057B5A"/>
    <w:rsid w:val="00057D62"/>
    <w:rsid w:val="00060CD2"/>
    <w:rsid w:val="000610FB"/>
    <w:rsid w:val="00061ACF"/>
    <w:rsid w:val="00063103"/>
    <w:rsid w:val="00063C7B"/>
    <w:rsid w:val="00064A45"/>
    <w:rsid w:val="00065AE4"/>
    <w:rsid w:val="00065CF9"/>
    <w:rsid w:val="00065F86"/>
    <w:rsid w:val="000667CC"/>
    <w:rsid w:val="00067554"/>
    <w:rsid w:val="00067AD3"/>
    <w:rsid w:val="00067B67"/>
    <w:rsid w:val="00070044"/>
    <w:rsid w:val="00071939"/>
    <w:rsid w:val="00071A99"/>
    <w:rsid w:val="00071E17"/>
    <w:rsid w:val="00072E33"/>
    <w:rsid w:val="000732C5"/>
    <w:rsid w:val="000742E6"/>
    <w:rsid w:val="00074313"/>
    <w:rsid w:val="00075F16"/>
    <w:rsid w:val="00076945"/>
    <w:rsid w:val="00077086"/>
    <w:rsid w:val="0007749B"/>
    <w:rsid w:val="000779C4"/>
    <w:rsid w:val="0008149A"/>
    <w:rsid w:val="00081C98"/>
    <w:rsid w:val="00082390"/>
    <w:rsid w:val="00083A1B"/>
    <w:rsid w:val="00085CF0"/>
    <w:rsid w:val="000868F2"/>
    <w:rsid w:val="00086E04"/>
    <w:rsid w:val="00086FE0"/>
    <w:rsid w:val="000873D7"/>
    <w:rsid w:val="0009037C"/>
    <w:rsid w:val="000905EE"/>
    <w:rsid w:val="00090A8F"/>
    <w:rsid w:val="00091D8D"/>
    <w:rsid w:val="00091E8B"/>
    <w:rsid w:val="00092532"/>
    <w:rsid w:val="00092E22"/>
    <w:rsid w:val="00093276"/>
    <w:rsid w:val="000933EB"/>
    <w:rsid w:val="00094E53"/>
    <w:rsid w:val="00096E3E"/>
    <w:rsid w:val="00096EAF"/>
    <w:rsid w:val="00097B91"/>
    <w:rsid w:val="000A0EAF"/>
    <w:rsid w:val="000A17D8"/>
    <w:rsid w:val="000A17DD"/>
    <w:rsid w:val="000A198C"/>
    <w:rsid w:val="000A21A5"/>
    <w:rsid w:val="000A2338"/>
    <w:rsid w:val="000A25FB"/>
    <w:rsid w:val="000A318D"/>
    <w:rsid w:val="000A35A7"/>
    <w:rsid w:val="000A3BE0"/>
    <w:rsid w:val="000A4E53"/>
    <w:rsid w:val="000A58F8"/>
    <w:rsid w:val="000A6EF4"/>
    <w:rsid w:val="000A7051"/>
    <w:rsid w:val="000A711A"/>
    <w:rsid w:val="000A7240"/>
    <w:rsid w:val="000B022E"/>
    <w:rsid w:val="000B0D01"/>
    <w:rsid w:val="000B0E30"/>
    <w:rsid w:val="000B306A"/>
    <w:rsid w:val="000B38A5"/>
    <w:rsid w:val="000B3DD5"/>
    <w:rsid w:val="000B5CD4"/>
    <w:rsid w:val="000B5FFA"/>
    <w:rsid w:val="000B67D6"/>
    <w:rsid w:val="000B7C3F"/>
    <w:rsid w:val="000C089C"/>
    <w:rsid w:val="000C0BCE"/>
    <w:rsid w:val="000C15BB"/>
    <w:rsid w:val="000C3658"/>
    <w:rsid w:val="000C44D1"/>
    <w:rsid w:val="000C485C"/>
    <w:rsid w:val="000C5137"/>
    <w:rsid w:val="000C573F"/>
    <w:rsid w:val="000C5F51"/>
    <w:rsid w:val="000C6D7E"/>
    <w:rsid w:val="000C779A"/>
    <w:rsid w:val="000C7C71"/>
    <w:rsid w:val="000D0CF0"/>
    <w:rsid w:val="000D11B5"/>
    <w:rsid w:val="000D1612"/>
    <w:rsid w:val="000D1750"/>
    <w:rsid w:val="000D217D"/>
    <w:rsid w:val="000D2739"/>
    <w:rsid w:val="000D3168"/>
    <w:rsid w:val="000D3228"/>
    <w:rsid w:val="000D35D0"/>
    <w:rsid w:val="000D3976"/>
    <w:rsid w:val="000D39E3"/>
    <w:rsid w:val="000D3C1D"/>
    <w:rsid w:val="000D3CB9"/>
    <w:rsid w:val="000D3D35"/>
    <w:rsid w:val="000D4B82"/>
    <w:rsid w:val="000D5AD5"/>
    <w:rsid w:val="000E0B91"/>
    <w:rsid w:val="000E0C8F"/>
    <w:rsid w:val="000E19F2"/>
    <w:rsid w:val="000E2D87"/>
    <w:rsid w:val="000E3599"/>
    <w:rsid w:val="000E4538"/>
    <w:rsid w:val="000E47BC"/>
    <w:rsid w:val="000E4E6B"/>
    <w:rsid w:val="000E556D"/>
    <w:rsid w:val="000E5A20"/>
    <w:rsid w:val="000E5FBA"/>
    <w:rsid w:val="000E6C3E"/>
    <w:rsid w:val="000E6CC1"/>
    <w:rsid w:val="000E7111"/>
    <w:rsid w:val="000F0DC0"/>
    <w:rsid w:val="000F1708"/>
    <w:rsid w:val="000F1758"/>
    <w:rsid w:val="000F17B8"/>
    <w:rsid w:val="000F1AFB"/>
    <w:rsid w:val="000F1D63"/>
    <w:rsid w:val="000F1F51"/>
    <w:rsid w:val="000F2114"/>
    <w:rsid w:val="000F229B"/>
    <w:rsid w:val="000F4426"/>
    <w:rsid w:val="000F44D7"/>
    <w:rsid w:val="000F44EB"/>
    <w:rsid w:val="000F4A08"/>
    <w:rsid w:val="000F4AB2"/>
    <w:rsid w:val="000F4CCB"/>
    <w:rsid w:val="000F5254"/>
    <w:rsid w:val="000F5DFE"/>
    <w:rsid w:val="000F6D96"/>
    <w:rsid w:val="000F7791"/>
    <w:rsid w:val="001019A4"/>
    <w:rsid w:val="001019CA"/>
    <w:rsid w:val="00101C37"/>
    <w:rsid w:val="001032BC"/>
    <w:rsid w:val="00103AB8"/>
    <w:rsid w:val="00104815"/>
    <w:rsid w:val="0010527F"/>
    <w:rsid w:val="0010553F"/>
    <w:rsid w:val="001056CC"/>
    <w:rsid w:val="00105966"/>
    <w:rsid w:val="00106BAB"/>
    <w:rsid w:val="0011029F"/>
    <w:rsid w:val="00110EA3"/>
    <w:rsid w:val="00110FE3"/>
    <w:rsid w:val="0011113B"/>
    <w:rsid w:val="001115CA"/>
    <w:rsid w:val="00111688"/>
    <w:rsid w:val="00111A48"/>
    <w:rsid w:val="00111B40"/>
    <w:rsid w:val="00112CE2"/>
    <w:rsid w:val="00113025"/>
    <w:rsid w:val="00113591"/>
    <w:rsid w:val="001137DD"/>
    <w:rsid w:val="0011427A"/>
    <w:rsid w:val="00114DA9"/>
    <w:rsid w:val="00115320"/>
    <w:rsid w:val="001174E0"/>
    <w:rsid w:val="001178BA"/>
    <w:rsid w:val="00117CA0"/>
    <w:rsid w:val="001206A3"/>
    <w:rsid w:val="00120EC6"/>
    <w:rsid w:val="00121215"/>
    <w:rsid w:val="00121315"/>
    <w:rsid w:val="0012240B"/>
    <w:rsid w:val="0012243B"/>
    <w:rsid w:val="00122458"/>
    <w:rsid w:val="00122B81"/>
    <w:rsid w:val="00123101"/>
    <w:rsid w:val="001241AD"/>
    <w:rsid w:val="0012494E"/>
    <w:rsid w:val="00124F94"/>
    <w:rsid w:val="00125416"/>
    <w:rsid w:val="0012633C"/>
    <w:rsid w:val="00126639"/>
    <w:rsid w:val="00126B52"/>
    <w:rsid w:val="00127259"/>
    <w:rsid w:val="001276B5"/>
    <w:rsid w:val="001301A1"/>
    <w:rsid w:val="00131175"/>
    <w:rsid w:val="001316B2"/>
    <w:rsid w:val="0013189F"/>
    <w:rsid w:val="00131EAA"/>
    <w:rsid w:val="00132534"/>
    <w:rsid w:val="00132A76"/>
    <w:rsid w:val="001338C7"/>
    <w:rsid w:val="001342BA"/>
    <w:rsid w:val="00134405"/>
    <w:rsid w:val="00134551"/>
    <w:rsid w:val="001351E7"/>
    <w:rsid w:val="001364DB"/>
    <w:rsid w:val="00140340"/>
    <w:rsid w:val="00140D2F"/>
    <w:rsid w:val="0014251B"/>
    <w:rsid w:val="00142CB4"/>
    <w:rsid w:val="0014346C"/>
    <w:rsid w:val="001434A6"/>
    <w:rsid w:val="001447ED"/>
    <w:rsid w:val="0014510E"/>
    <w:rsid w:val="0014598C"/>
    <w:rsid w:val="00145CA9"/>
    <w:rsid w:val="00146614"/>
    <w:rsid w:val="00146A66"/>
    <w:rsid w:val="00147593"/>
    <w:rsid w:val="0014793F"/>
    <w:rsid w:val="00147C74"/>
    <w:rsid w:val="00147E82"/>
    <w:rsid w:val="00150349"/>
    <w:rsid w:val="001522C6"/>
    <w:rsid w:val="001545A3"/>
    <w:rsid w:val="0015472E"/>
    <w:rsid w:val="00154A0B"/>
    <w:rsid w:val="00155FDA"/>
    <w:rsid w:val="00156776"/>
    <w:rsid w:val="00156FFA"/>
    <w:rsid w:val="00157391"/>
    <w:rsid w:val="0015746E"/>
    <w:rsid w:val="00160C48"/>
    <w:rsid w:val="001615AC"/>
    <w:rsid w:val="001618CE"/>
    <w:rsid w:val="00161A71"/>
    <w:rsid w:val="0016238C"/>
    <w:rsid w:val="00162B7C"/>
    <w:rsid w:val="0016314B"/>
    <w:rsid w:val="0016374E"/>
    <w:rsid w:val="00163E37"/>
    <w:rsid w:val="00164123"/>
    <w:rsid w:val="001644AA"/>
    <w:rsid w:val="00165028"/>
    <w:rsid w:val="00165268"/>
    <w:rsid w:val="00165544"/>
    <w:rsid w:val="00165C16"/>
    <w:rsid w:val="00165D22"/>
    <w:rsid w:val="00166C3A"/>
    <w:rsid w:val="00167A1C"/>
    <w:rsid w:val="00167DA2"/>
    <w:rsid w:val="00172112"/>
    <w:rsid w:val="00174439"/>
    <w:rsid w:val="00174D5A"/>
    <w:rsid w:val="00175CA5"/>
    <w:rsid w:val="00175EC4"/>
    <w:rsid w:val="001760CA"/>
    <w:rsid w:val="001763CF"/>
    <w:rsid w:val="0017686B"/>
    <w:rsid w:val="00177017"/>
    <w:rsid w:val="001777E1"/>
    <w:rsid w:val="00180269"/>
    <w:rsid w:val="00181719"/>
    <w:rsid w:val="0018200E"/>
    <w:rsid w:val="001825AB"/>
    <w:rsid w:val="00182967"/>
    <w:rsid w:val="00182A9E"/>
    <w:rsid w:val="0018435F"/>
    <w:rsid w:val="001845C5"/>
    <w:rsid w:val="00185905"/>
    <w:rsid w:val="00186467"/>
    <w:rsid w:val="001874F1"/>
    <w:rsid w:val="001876B0"/>
    <w:rsid w:val="00187E5F"/>
    <w:rsid w:val="001900CB"/>
    <w:rsid w:val="00191CC4"/>
    <w:rsid w:val="00192F6A"/>
    <w:rsid w:val="00192F90"/>
    <w:rsid w:val="001939E0"/>
    <w:rsid w:val="00193A4D"/>
    <w:rsid w:val="00193AC9"/>
    <w:rsid w:val="00193FEC"/>
    <w:rsid w:val="00194137"/>
    <w:rsid w:val="00194218"/>
    <w:rsid w:val="00194A40"/>
    <w:rsid w:val="001951CF"/>
    <w:rsid w:val="00195A52"/>
    <w:rsid w:val="00195E6E"/>
    <w:rsid w:val="001968BC"/>
    <w:rsid w:val="00196F1D"/>
    <w:rsid w:val="001970C8"/>
    <w:rsid w:val="0019780D"/>
    <w:rsid w:val="001A0037"/>
    <w:rsid w:val="001A0393"/>
    <w:rsid w:val="001A0D25"/>
    <w:rsid w:val="001A147B"/>
    <w:rsid w:val="001A15BB"/>
    <w:rsid w:val="001A1ABA"/>
    <w:rsid w:val="001A1AC1"/>
    <w:rsid w:val="001A2696"/>
    <w:rsid w:val="001A3A2E"/>
    <w:rsid w:val="001A3EB9"/>
    <w:rsid w:val="001A3FBA"/>
    <w:rsid w:val="001A576D"/>
    <w:rsid w:val="001A60D0"/>
    <w:rsid w:val="001A6459"/>
    <w:rsid w:val="001A64A7"/>
    <w:rsid w:val="001A6702"/>
    <w:rsid w:val="001A68A6"/>
    <w:rsid w:val="001A73D4"/>
    <w:rsid w:val="001A7FFA"/>
    <w:rsid w:val="001B1297"/>
    <w:rsid w:val="001B1A09"/>
    <w:rsid w:val="001B2512"/>
    <w:rsid w:val="001B268A"/>
    <w:rsid w:val="001B2D2F"/>
    <w:rsid w:val="001B33AC"/>
    <w:rsid w:val="001B3463"/>
    <w:rsid w:val="001B35FF"/>
    <w:rsid w:val="001B4728"/>
    <w:rsid w:val="001B5726"/>
    <w:rsid w:val="001B6FE1"/>
    <w:rsid w:val="001C00C3"/>
    <w:rsid w:val="001C0313"/>
    <w:rsid w:val="001C0415"/>
    <w:rsid w:val="001C04B7"/>
    <w:rsid w:val="001C1460"/>
    <w:rsid w:val="001C151D"/>
    <w:rsid w:val="001C17EA"/>
    <w:rsid w:val="001C1F49"/>
    <w:rsid w:val="001C320B"/>
    <w:rsid w:val="001C39A1"/>
    <w:rsid w:val="001C46DD"/>
    <w:rsid w:val="001C4F2C"/>
    <w:rsid w:val="001C5333"/>
    <w:rsid w:val="001C61B0"/>
    <w:rsid w:val="001C70CA"/>
    <w:rsid w:val="001D0B46"/>
    <w:rsid w:val="001D1580"/>
    <w:rsid w:val="001D254A"/>
    <w:rsid w:val="001E025E"/>
    <w:rsid w:val="001E0F32"/>
    <w:rsid w:val="001E12F8"/>
    <w:rsid w:val="001E2D44"/>
    <w:rsid w:val="001E30CE"/>
    <w:rsid w:val="001E3820"/>
    <w:rsid w:val="001E3BEF"/>
    <w:rsid w:val="001E3F22"/>
    <w:rsid w:val="001E4778"/>
    <w:rsid w:val="001E4D64"/>
    <w:rsid w:val="001E65AB"/>
    <w:rsid w:val="001E6BA7"/>
    <w:rsid w:val="001E76FA"/>
    <w:rsid w:val="001F0073"/>
    <w:rsid w:val="001F0ED9"/>
    <w:rsid w:val="001F0F9D"/>
    <w:rsid w:val="001F1956"/>
    <w:rsid w:val="001F1AEA"/>
    <w:rsid w:val="001F1CD8"/>
    <w:rsid w:val="001F2244"/>
    <w:rsid w:val="001F2273"/>
    <w:rsid w:val="001F2823"/>
    <w:rsid w:val="001F33DB"/>
    <w:rsid w:val="001F3659"/>
    <w:rsid w:val="001F3E30"/>
    <w:rsid w:val="001F412F"/>
    <w:rsid w:val="001F4369"/>
    <w:rsid w:val="001F4877"/>
    <w:rsid w:val="001F52D7"/>
    <w:rsid w:val="001F5770"/>
    <w:rsid w:val="001F59C6"/>
    <w:rsid w:val="001F62BD"/>
    <w:rsid w:val="001F69D6"/>
    <w:rsid w:val="001F7232"/>
    <w:rsid w:val="001F7D6A"/>
    <w:rsid w:val="00200B1E"/>
    <w:rsid w:val="002018D3"/>
    <w:rsid w:val="00201B90"/>
    <w:rsid w:val="00202111"/>
    <w:rsid w:val="0020260E"/>
    <w:rsid w:val="00202CDE"/>
    <w:rsid w:val="002035B2"/>
    <w:rsid w:val="00203D77"/>
    <w:rsid w:val="00205E07"/>
    <w:rsid w:val="00205F9C"/>
    <w:rsid w:val="00206327"/>
    <w:rsid w:val="00206F5F"/>
    <w:rsid w:val="00207902"/>
    <w:rsid w:val="00210745"/>
    <w:rsid w:val="0021095D"/>
    <w:rsid w:val="00210B6F"/>
    <w:rsid w:val="00211227"/>
    <w:rsid w:val="00211650"/>
    <w:rsid w:val="0021166E"/>
    <w:rsid w:val="00212215"/>
    <w:rsid w:val="00212459"/>
    <w:rsid w:val="00212934"/>
    <w:rsid w:val="00212D14"/>
    <w:rsid w:val="00213401"/>
    <w:rsid w:val="00213513"/>
    <w:rsid w:val="0021351F"/>
    <w:rsid w:val="002135F3"/>
    <w:rsid w:val="00213F0F"/>
    <w:rsid w:val="0021412F"/>
    <w:rsid w:val="00214B74"/>
    <w:rsid w:val="00214E60"/>
    <w:rsid w:val="002153C9"/>
    <w:rsid w:val="0021544B"/>
    <w:rsid w:val="002154DF"/>
    <w:rsid w:val="0021644E"/>
    <w:rsid w:val="0021655C"/>
    <w:rsid w:val="00216CC4"/>
    <w:rsid w:val="002170C5"/>
    <w:rsid w:val="00220003"/>
    <w:rsid w:val="002208F4"/>
    <w:rsid w:val="002213DB"/>
    <w:rsid w:val="002214B4"/>
    <w:rsid w:val="00221D8E"/>
    <w:rsid w:val="002223C6"/>
    <w:rsid w:val="002223E1"/>
    <w:rsid w:val="00222726"/>
    <w:rsid w:val="002230EF"/>
    <w:rsid w:val="00224123"/>
    <w:rsid w:val="00224632"/>
    <w:rsid w:val="0022472E"/>
    <w:rsid w:val="002262EE"/>
    <w:rsid w:val="00226770"/>
    <w:rsid w:val="002270DF"/>
    <w:rsid w:val="002279FC"/>
    <w:rsid w:val="00227FE1"/>
    <w:rsid w:val="00230BDD"/>
    <w:rsid w:val="00231278"/>
    <w:rsid w:val="002317AF"/>
    <w:rsid w:val="00232217"/>
    <w:rsid w:val="002327C1"/>
    <w:rsid w:val="002328C2"/>
    <w:rsid w:val="00232A79"/>
    <w:rsid w:val="00232D96"/>
    <w:rsid w:val="00233192"/>
    <w:rsid w:val="00235F82"/>
    <w:rsid w:val="0023657A"/>
    <w:rsid w:val="0023672A"/>
    <w:rsid w:val="00236B6C"/>
    <w:rsid w:val="0023775D"/>
    <w:rsid w:val="00237DD1"/>
    <w:rsid w:val="00240D74"/>
    <w:rsid w:val="00240DBC"/>
    <w:rsid w:val="0024230C"/>
    <w:rsid w:val="00242342"/>
    <w:rsid w:val="002425DF"/>
    <w:rsid w:val="00242C9E"/>
    <w:rsid w:val="002443DA"/>
    <w:rsid w:val="0024691B"/>
    <w:rsid w:val="00246A0E"/>
    <w:rsid w:val="00246C49"/>
    <w:rsid w:val="0025065B"/>
    <w:rsid w:val="002507A7"/>
    <w:rsid w:val="0025132B"/>
    <w:rsid w:val="002523B4"/>
    <w:rsid w:val="00252B41"/>
    <w:rsid w:val="002545E3"/>
    <w:rsid w:val="002545E4"/>
    <w:rsid w:val="002555D5"/>
    <w:rsid w:val="00255D0A"/>
    <w:rsid w:val="00257CBF"/>
    <w:rsid w:val="00260879"/>
    <w:rsid w:val="00260A79"/>
    <w:rsid w:val="002610B5"/>
    <w:rsid w:val="00262C64"/>
    <w:rsid w:val="00262DC5"/>
    <w:rsid w:val="002632C2"/>
    <w:rsid w:val="00263480"/>
    <w:rsid w:val="00263D47"/>
    <w:rsid w:val="00263DA3"/>
    <w:rsid w:val="002646A8"/>
    <w:rsid w:val="00264C7C"/>
    <w:rsid w:val="00265450"/>
    <w:rsid w:val="00265A54"/>
    <w:rsid w:val="002669C4"/>
    <w:rsid w:val="00266DBF"/>
    <w:rsid w:val="00266DF2"/>
    <w:rsid w:val="00266F63"/>
    <w:rsid w:val="0026747D"/>
    <w:rsid w:val="0027160C"/>
    <w:rsid w:val="0027203E"/>
    <w:rsid w:val="00272753"/>
    <w:rsid w:val="00273342"/>
    <w:rsid w:val="002737F3"/>
    <w:rsid w:val="00273B3D"/>
    <w:rsid w:val="00273C8F"/>
    <w:rsid w:val="00273E92"/>
    <w:rsid w:val="0027423A"/>
    <w:rsid w:val="002754B1"/>
    <w:rsid w:val="002756D5"/>
    <w:rsid w:val="00275A1E"/>
    <w:rsid w:val="00275FEC"/>
    <w:rsid w:val="002824DA"/>
    <w:rsid w:val="00282515"/>
    <w:rsid w:val="00282AA0"/>
    <w:rsid w:val="00285829"/>
    <w:rsid w:val="00285A07"/>
    <w:rsid w:val="0028611C"/>
    <w:rsid w:val="0028613F"/>
    <w:rsid w:val="00286447"/>
    <w:rsid w:val="0028669A"/>
    <w:rsid w:val="00286CA8"/>
    <w:rsid w:val="002903E5"/>
    <w:rsid w:val="00290680"/>
    <w:rsid w:val="00292542"/>
    <w:rsid w:val="00293312"/>
    <w:rsid w:val="00293A23"/>
    <w:rsid w:val="00294195"/>
    <w:rsid w:val="00295139"/>
    <w:rsid w:val="00295140"/>
    <w:rsid w:val="00296E4A"/>
    <w:rsid w:val="0029744B"/>
    <w:rsid w:val="0029783B"/>
    <w:rsid w:val="002A0B73"/>
    <w:rsid w:val="002A0D8E"/>
    <w:rsid w:val="002A0F15"/>
    <w:rsid w:val="002A322C"/>
    <w:rsid w:val="002A3971"/>
    <w:rsid w:val="002A4EAB"/>
    <w:rsid w:val="002A531F"/>
    <w:rsid w:val="002A6110"/>
    <w:rsid w:val="002A61E9"/>
    <w:rsid w:val="002A6280"/>
    <w:rsid w:val="002A6562"/>
    <w:rsid w:val="002A657E"/>
    <w:rsid w:val="002A6B46"/>
    <w:rsid w:val="002A6D3B"/>
    <w:rsid w:val="002A78C0"/>
    <w:rsid w:val="002A7904"/>
    <w:rsid w:val="002B08E0"/>
    <w:rsid w:val="002B096A"/>
    <w:rsid w:val="002B0BE1"/>
    <w:rsid w:val="002B0BFD"/>
    <w:rsid w:val="002B2DCE"/>
    <w:rsid w:val="002B3B39"/>
    <w:rsid w:val="002B3F6A"/>
    <w:rsid w:val="002B4C9F"/>
    <w:rsid w:val="002B5102"/>
    <w:rsid w:val="002B7081"/>
    <w:rsid w:val="002B7815"/>
    <w:rsid w:val="002B7E0A"/>
    <w:rsid w:val="002C0518"/>
    <w:rsid w:val="002C190D"/>
    <w:rsid w:val="002C1EE7"/>
    <w:rsid w:val="002C24DF"/>
    <w:rsid w:val="002C2512"/>
    <w:rsid w:val="002C2DE3"/>
    <w:rsid w:val="002C32E8"/>
    <w:rsid w:val="002C39E6"/>
    <w:rsid w:val="002C402F"/>
    <w:rsid w:val="002C4698"/>
    <w:rsid w:val="002C542E"/>
    <w:rsid w:val="002C57EF"/>
    <w:rsid w:val="002C5C21"/>
    <w:rsid w:val="002C5DFA"/>
    <w:rsid w:val="002C5E73"/>
    <w:rsid w:val="002C658B"/>
    <w:rsid w:val="002C6E4F"/>
    <w:rsid w:val="002D0E59"/>
    <w:rsid w:val="002D2A56"/>
    <w:rsid w:val="002D2AAD"/>
    <w:rsid w:val="002D41C1"/>
    <w:rsid w:val="002D62AE"/>
    <w:rsid w:val="002E04B9"/>
    <w:rsid w:val="002E0CF7"/>
    <w:rsid w:val="002E10DA"/>
    <w:rsid w:val="002E1FC2"/>
    <w:rsid w:val="002E2D0B"/>
    <w:rsid w:val="002E2E11"/>
    <w:rsid w:val="002E36C4"/>
    <w:rsid w:val="002E3B88"/>
    <w:rsid w:val="002E3C5F"/>
    <w:rsid w:val="002E3CE2"/>
    <w:rsid w:val="002E4567"/>
    <w:rsid w:val="002E4DBA"/>
    <w:rsid w:val="002E4E91"/>
    <w:rsid w:val="002E5C06"/>
    <w:rsid w:val="002E5E51"/>
    <w:rsid w:val="002E643A"/>
    <w:rsid w:val="002E68AC"/>
    <w:rsid w:val="002E7A23"/>
    <w:rsid w:val="002E7B76"/>
    <w:rsid w:val="002F0323"/>
    <w:rsid w:val="002F0545"/>
    <w:rsid w:val="002F16BC"/>
    <w:rsid w:val="002F2208"/>
    <w:rsid w:val="002F249D"/>
    <w:rsid w:val="002F32B1"/>
    <w:rsid w:val="002F3529"/>
    <w:rsid w:val="002F35FD"/>
    <w:rsid w:val="002F3C87"/>
    <w:rsid w:val="002F40D7"/>
    <w:rsid w:val="002F4559"/>
    <w:rsid w:val="002F4774"/>
    <w:rsid w:val="002F589C"/>
    <w:rsid w:val="002F78D3"/>
    <w:rsid w:val="003004CB"/>
    <w:rsid w:val="00301098"/>
    <w:rsid w:val="00303919"/>
    <w:rsid w:val="0030433C"/>
    <w:rsid w:val="00304625"/>
    <w:rsid w:val="00304E78"/>
    <w:rsid w:val="00304F1A"/>
    <w:rsid w:val="00305D44"/>
    <w:rsid w:val="00307524"/>
    <w:rsid w:val="00307885"/>
    <w:rsid w:val="00307C5B"/>
    <w:rsid w:val="00307E95"/>
    <w:rsid w:val="00310471"/>
    <w:rsid w:val="00310709"/>
    <w:rsid w:val="003107DE"/>
    <w:rsid w:val="00310F18"/>
    <w:rsid w:val="0031154A"/>
    <w:rsid w:val="00311B18"/>
    <w:rsid w:val="00311FB5"/>
    <w:rsid w:val="003121EA"/>
    <w:rsid w:val="00312DDE"/>
    <w:rsid w:val="003132D9"/>
    <w:rsid w:val="00314735"/>
    <w:rsid w:val="003149BF"/>
    <w:rsid w:val="00314A02"/>
    <w:rsid w:val="00315428"/>
    <w:rsid w:val="003154DF"/>
    <w:rsid w:val="00316AF4"/>
    <w:rsid w:val="00316C36"/>
    <w:rsid w:val="00320268"/>
    <w:rsid w:val="00320EE8"/>
    <w:rsid w:val="00321497"/>
    <w:rsid w:val="00321FD9"/>
    <w:rsid w:val="00322D40"/>
    <w:rsid w:val="00324083"/>
    <w:rsid w:val="00324211"/>
    <w:rsid w:val="00325A30"/>
    <w:rsid w:val="00326720"/>
    <w:rsid w:val="00327B02"/>
    <w:rsid w:val="003304F6"/>
    <w:rsid w:val="00330CF6"/>
    <w:rsid w:val="00331290"/>
    <w:rsid w:val="00331C39"/>
    <w:rsid w:val="00331F39"/>
    <w:rsid w:val="00333708"/>
    <w:rsid w:val="00333864"/>
    <w:rsid w:val="00333CC8"/>
    <w:rsid w:val="0033402C"/>
    <w:rsid w:val="0033518C"/>
    <w:rsid w:val="003353D0"/>
    <w:rsid w:val="00335757"/>
    <w:rsid w:val="00335CB3"/>
    <w:rsid w:val="003364FC"/>
    <w:rsid w:val="003370D2"/>
    <w:rsid w:val="003401A8"/>
    <w:rsid w:val="0034222E"/>
    <w:rsid w:val="003423BC"/>
    <w:rsid w:val="00343EEA"/>
    <w:rsid w:val="003442C3"/>
    <w:rsid w:val="0034481B"/>
    <w:rsid w:val="00344D1D"/>
    <w:rsid w:val="00344D59"/>
    <w:rsid w:val="00346A7C"/>
    <w:rsid w:val="0034722C"/>
    <w:rsid w:val="003474D0"/>
    <w:rsid w:val="00347762"/>
    <w:rsid w:val="00347F3E"/>
    <w:rsid w:val="0035011F"/>
    <w:rsid w:val="003504C4"/>
    <w:rsid w:val="003506BB"/>
    <w:rsid w:val="00351560"/>
    <w:rsid w:val="00352237"/>
    <w:rsid w:val="003524F3"/>
    <w:rsid w:val="00353242"/>
    <w:rsid w:val="00353D39"/>
    <w:rsid w:val="003542FA"/>
    <w:rsid w:val="00354617"/>
    <w:rsid w:val="003553F0"/>
    <w:rsid w:val="00355A95"/>
    <w:rsid w:val="00356AE2"/>
    <w:rsid w:val="00356EED"/>
    <w:rsid w:val="003571B9"/>
    <w:rsid w:val="00357506"/>
    <w:rsid w:val="003578F7"/>
    <w:rsid w:val="003614EF"/>
    <w:rsid w:val="00361615"/>
    <w:rsid w:val="00362297"/>
    <w:rsid w:val="00362C22"/>
    <w:rsid w:val="00362E13"/>
    <w:rsid w:val="00362EA2"/>
    <w:rsid w:val="0036333C"/>
    <w:rsid w:val="00363868"/>
    <w:rsid w:val="00363D7B"/>
    <w:rsid w:val="00364E9C"/>
    <w:rsid w:val="00365951"/>
    <w:rsid w:val="003666E9"/>
    <w:rsid w:val="00367095"/>
    <w:rsid w:val="0036709B"/>
    <w:rsid w:val="0036742D"/>
    <w:rsid w:val="00370208"/>
    <w:rsid w:val="003706C5"/>
    <w:rsid w:val="00371C66"/>
    <w:rsid w:val="00371E36"/>
    <w:rsid w:val="0037264A"/>
    <w:rsid w:val="00372890"/>
    <w:rsid w:val="00372FA5"/>
    <w:rsid w:val="00373676"/>
    <w:rsid w:val="00374471"/>
    <w:rsid w:val="00375C42"/>
    <w:rsid w:val="00376190"/>
    <w:rsid w:val="003777E3"/>
    <w:rsid w:val="00377FAC"/>
    <w:rsid w:val="00381AFE"/>
    <w:rsid w:val="00382198"/>
    <w:rsid w:val="0038273F"/>
    <w:rsid w:val="00383D74"/>
    <w:rsid w:val="00383E41"/>
    <w:rsid w:val="0038422F"/>
    <w:rsid w:val="003846EB"/>
    <w:rsid w:val="00386298"/>
    <w:rsid w:val="003862CB"/>
    <w:rsid w:val="00386DC8"/>
    <w:rsid w:val="00387CD5"/>
    <w:rsid w:val="00390498"/>
    <w:rsid w:val="00391884"/>
    <w:rsid w:val="00391BE7"/>
    <w:rsid w:val="00391DFA"/>
    <w:rsid w:val="003920ED"/>
    <w:rsid w:val="0039355C"/>
    <w:rsid w:val="003935B1"/>
    <w:rsid w:val="00394425"/>
    <w:rsid w:val="0039460A"/>
    <w:rsid w:val="00394A16"/>
    <w:rsid w:val="0039516D"/>
    <w:rsid w:val="003952B7"/>
    <w:rsid w:val="00396B46"/>
    <w:rsid w:val="00397556"/>
    <w:rsid w:val="003A05E9"/>
    <w:rsid w:val="003A2097"/>
    <w:rsid w:val="003A2A5A"/>
    <w:rsid w:val="003A2BA7"/>
    <w:rsid w:val="003A3739"/>
    <w:rsid w:val="003A3B3A"/>
    <w:rsid w:val="003A53E5"/>
    <w:rsid w:val="003A5EB1"/>
    <w:rsid w:val="003A60B8"/>
    <w:rsid w:val="003B0343"/>
    <w:rsid w:val="003B07C9"/>
    <w:rsid w:val="003B0CBF"/>
    <w:rsid w:val="003B0E10"/>
    <w:rsid w:val="003B0E35"/>
    <w:rsid w:val="003B2FBF"/>
    <w:rsid w:val="003B4059"/>
    <w:rsid w:val="003B4313"/>
    <w:rsid w:val="003B4A17"/>
    <w:rsid w:val="003B5364"/>
    <w:rsid w:val="003B5627"/>
    <w:rsid w:val="003B56B8"/>
    <w:rsid w:val="003B6019"/>
    <w:rsid w:val="003B613B"/>
    <w:rsid w:val="003B638F"/>
    <w:rsid w:val="003B65F5"/>
    <w:rsid w:val="003B65F6"/>
    <w:rsid w:val="003B6FF4"/>
    <w:rsid w:val="003B7591"/>
    <w:rsid w:val="003B7949"/>
    <w:rsid w:val="003B7A93"/>
    <w:rsid w:val="003B7E0D"/>
    <w:rsid w:val="003B7E70"/>
    <w:rsid w:val="003C02D6"/>
    <w:rsid w:val="003C09D8"/>
    <w:rsid w:val="003C290D"/>
    <w:rsid w:val="003C3207"/>
    <w:rsid w:val="003C4624"/>
    <w:rsid w:val="003C5559"/>
    <w:rsid w:val="003C57F1"/>
    <w:rsid w:val="003C5D3B"/>
    <w:rsid w:val="003C5E1E"/>
    <w:rsid w:val="003C618B"/>
    <w:rsid w:val="003C634E"/>
    <w:rsid w:val="003D0878"/>
    <w:rsid w:val="003D109C"/>
    <w:rsid w:val="003D1392"/>
    <w:rsid w:val="003D28E6"/>
    <w:rsid w:val="003D4270"/>
    <w:rsid w:val="003D5800"/>
    <w:rsid w:val="003D6AFB"/>
    <w:rsid w:val="003D7389"/>
    <w:rsid w:val="003D7821"/>
    <w:rsid w:val="003D7967"/>
    <w:rsid w:val="003E0019"/>
    <w:rsid w:val="003E13CE"/>
    <w:rsid w:val="003E1A1C"/>
    <w:rsid w:val="003E243A"/>
    <w:rsid w:val="003E2782"/>
    <w:rsid w:val="003E278C"/>
    <w:rsid w:val="003E2794"/>
    <w:rsid w:val="003E30C5"/>
    <w:rsid w:val="003E47EE"/>
    <w:rsid w:val="003E5BE8"/>
    <w:rsid w:val="003E653C"/>
    <w:rsid w:val="003E6D13"/>
    <w:rsid w:val="003F0274"/>
    <w:rsid w:val="003F0FC3"/>
    <w:rsid w:val="003F13AB"/>
    <w:rsid w:val="003F13F6"/>
    <w:rsid w:val="003F23CA"/>
    <w:rsid w:val="003F27E7"/>
    <w:rsid w:val="003F2F83"/>
    <w:rsid w:val="003F3129"/>
    <w:rsid w:val="003F3168"/>
    <w:rsid w:val="003F380D"/>
    <w:rsid w:val="003F388E"/>
    <w:rsid w:val="003F3D28"/>
    <w:rsid w:val="003F3EA1"/>
    <w:rsid w:val="003F47FE"/>
    <w:rsid w:val="003F5F2F"/>
    <w:rsid w:val="003F6196"/>
    <w:rsid w:val="003F6B2D"/>
    <w:rsid w:val="003F754D"/>
    <w:rsid w:val="0040031D"/>
    <w:rsid w:val="00400C86"/>
    <w:rsid w:val="00400D19"/>
    <w:rsid w:val="00400F20"/>
    <w:rsid w:val="0040245D"/>
    <w:rsid w:val="00402DAD"/>
    <w:rsid w:val="00403404"/>
    <w:rsid w:val="00403B72"/>
    <w:rsid w:val="00404363"/>
    <w:rsid w:val="00405CAA"/>
    <w:rsid w:val="0040646B"/>
    <w:rsid w:val="00406624"/>
    <w:rsid w:val="004077B2"/>
    <w:rsid w:val="0041036A"/>
    <w:rsid w:val="00410923"/>
    <w:rsid w:val="00410F4F"/>
    <w:rsid w:val="0041123C"/>
    <w:rsid w:val="0041157B"/>
    <w:rsid w:val="004126E0"/>
    <w:rsid w:val="00412934"/>
    <w:rsid w:val="00414CF6"/>
    <w:rsid w:val="00414D44"/>
    <w:rsid w:val="004157F6"/>
    <w:rsid w:val="00416571"/>
    <w:rsid w:val="00416702"/>
    <w:rsid w:val="00417625"/>
    <w:rsid w:val="00420FB1"/>
    <w:rsid w:val="00421A2B"/>
    <w:rsid w:val="00421C15"/>
    <w:rsid w:val="00421D60"/>
    <w:rsid w:val="00422817"/>
    <w:rsid w:val="00422899"/>
    <w:rsid w:val="0042347E"/>
    <w:rsid w:val="00425196"/>
    <w:rsid w:val="00425FDB"/>
    <w:rsid w:val="004262F5"/>
    <w:rsid w:val="0042641A"/>
    <w:rsid w:val="00427F33"/>
    <w:rsid w:val="0043034D"/>
    <w:rsid w:val="004313E7"/>
    <w:rsid w:val="004318D2"/>
    <w:rsid w:val="004318E0"/>
    <w:rsid w:val="00431E13"/>
    <w:rsid w:val="0043286E"/>
    <w:rsid w:val="004329F4"/>
    <w:rsid w:val="00433E5A"/>
    <w:rsid w:val="00434DF1"/>
    <w:rsid w:val="00436D89"/>
    <w:rsid w:val="004376CB"/>
    <w:rsid w:val="004377F6"/>
    <w:rsid w:val="00437840"/>
    <w:rsid w:val="00440225"/>
    <w:rsid w:val="00441791"/>
    <w:rsid w:val="00441845"/>
    <w:rsid w:val="00441B50"/>
    <w:rsid w:val="00441DB7"/>
    <w:rsid w:val="004421FA"/>
    <w:rsid w:val="0044258E"/>
    <w:rsid w:val="00444012"/>
    <w:rsid w:val="0044560E"/>
    <w:rsid w:val="0045012E"/>
    <w:rsid w:val="004508DE"/>
    <w:rsid w:val="00451A74"/>
    <w:rsid w:val="0045329B"/>
    <w:rsid w:val="00454392"/>
    <w:rsid w:val="0045488E"/>
    <w:rsid w:val="004553FB"/>
    <w:rsid w:val="004555A3"/>
    <w:rsid w:val="0045588C"/>
    <w:rsid w:val="00455B14"/>
    <w:rsid w:val="00455F8F"/>
    <w:rsid w:val="00456AB1"/>
    <w:rsid w:val="00457045"/>
    <w:rsid w:val="00457084"/>
    <w:rsid w:val="004608AE"/>
    <w:rsid w:val="00461BD2"/>
    <w:rsid w:val="00461C11"/>
    <w:rsid w:val="00461FD9"/>
    <w:rsid w:val="0046521A"/>
    <w:rsid w:val="00465465"/>
    <w:rsid w:val="004668C1"/>
    <w:rsid w:val="004674FB"/>
    <w:rsid w:val="00474569"/>
    <w:rsid w:val="00474F37"/>
    <w:rsid w:val="004752E2"/>
    <w:rsid w:val="0047563E"/>
    <w:rsid w:val="00475E5F"/>
    <w:rsid w:val="004769C0"/>
    <w:rsid w:val="00477296"/>
    <w:rsid w:val="004774A1"/>
    <w:rsid w:val="004776C9"/>
    <w:rsid w:val="00480F4C"/>
    <w:rsid w:val="0048110C"/>
    <w:rsid w:val="00482038"/>
    <w:rsid w:val="00482257"/>
    <w:rsid w:val="00482638"/>
    <w:rsid w:val="004829D9"/>
    <w:rsid w:val="00482F93"/>
    <w:rsid w:val="004830A3"/>
    <w:rsid w:val="00483F77"/>
    <w:rsid w:val="00484221"/>
    <w:rsid w:val="0048702C"/>
    <w:rsid w:val="00487BC2"/>
    <w:rsid w:val="004904F0"/>
    <w:rsid w:val="00490C8D"/>
    <w:rsid w:val="00490FAF"/>
    <w:rsid w:val="004911EA"/>
    <w:rsid w:val="00491285"/>
    <w:rsid w:val="00491A26"/>
    <w:rsid w:val="00492031"/>
    <w:rsid w:val="00492146"/>
    <w:rsid w:val="004927AE"/>
    <w:rsid w:val="004930FC"/>
    <w:rsid w:val="00493207"/>
    <w:rsid w:val="00493A04"/>
    <w:rsid w:val="00494623"/>
    <w:rsid w:val="00494892"/>
    <w:rsid w:val="004952CE"/>
    <w:rsid w:val="004971BE"/>
    <w:rsid w:val="00497732"/>
    <w:rsid w:val="004A0521"/>
    <w:rsid w:val="004A0738"/>
    <w:rsid w:val="004A108E"/>
    <w:rsid w:val="004A14ED"/>
    <w:rsid w:val="004A153E"/>
    <w:rsid w:val="004A1FE6"/>
    <w:rsid w:val="004A2226"/>
    <w:rsid w:val="004A47F8"/>
    <w:rsid w:val="004A4C7B"/>
    <w:rsid w:val="004A517A"/>
    <w:rsid w:val="004A6360"/>
    <w:rsid w:val="004A6DA9"/>
    <w:rsid w:val="004A7524"/>
    <w:rsid w:val="004A773D"/>
    <w:rsid w:val="004A78D5"/>
    <w:rsid w:val="004A7F20"/>
    <w:rsid w:val="004B08FF"/>
    <w:rsid w:val="004B0AA3"/>
    <w:rsid w:val="004B1AF5"/>
    <w:rsid w:val="004B1EB8"/>
    <w:rsid w:val="004B2047"/>
    <w:rsid w:val="004B2C3B"/>
    <w:rsid w:val="004B3681"/>
    <w:rsid w:val="004B548B"/>
    <w:rsid w:val="004B5BCC"/>
    <w:rsid w:val="004B60BB"/>
    <w:rsid w:val="004B6197"/>
    <w:rsid w:val="004B6667"/>
    <w:rsid w:val="004C0E0C"/>
    <w:rsid w:val="004C117F"/>
    <w:rsid w:val="004C15FD"/>
    <w:rsid w:val="004C17C3"/>
    <w:rsid w:val="004C1E8D"/>
    <w:rsid w:val="004C2185"/>
    <w:rsid w:val="004C288E"/>
    <w:rsid w:val="004C2AB1"/>
    <w:rsid w:val="004C2ADB"/>
    <w:rsid w:val="004C2BF1"/>
    <w:rsid w:val="004C3416"/>
    <w:rsid w:val="004C3B82"/>
    <w:rsid w:val="004C3CC3"/>
    <w:rsid w:val="004C52E0"/>
    <w:rsid w:val="004C5AB5"/>
    <w:rsid w:val="004C5F66"/>
    <w:rsid w:val="004C79E1"/>
    <w:rsid w:val="004C7C42"/>
    <w:rsid w:val="004C7E25"/>
    <w:rsid w:val="004D00EE"/>
    <w:rsid w:val="004D0563"/>
    <w:rsid w:val="004D0BFD"/>
    <w:rsid w:val="004D2CD4"/>
    <w:rsid w:val="004D2E1F"/>
    <w:rsid w:val="004D300C"/>
    <w:rsid w:val="004D3D54"/>
    <w:rsid w:val="004D4384"/>
    <w:rsid w:val="004D4C07"/>
    <w:rsid w:val="004D4F25"/>
    <w:rsid w:val="004D5ED2"/>
    <w:rsid w:val="004D6737"/>
    <w:rsid w:val="004D7520"/>
    <w:rsid w:val="004D7530"/>
    <w:rsid w:val="004D7A1A"/>
    <w:rsid w:val="004E1779"/>
    <w:rsid w:val="004E2EE1"/>
    <w:rsid w:val="004E46D0"/>
    <w:rsid w:val="004E618A"/>
    <w:rsid w:val="004F0881"/>
    <w:rsid w:val="004F0BB2"/>
    <w:rsid w:val="004F2955"/>
    <w:rsid w:val="004F2CD9"/>
    <w:rsid w:val="004F37DE"/>
    <w:rsid w:val="004F4452"/>
    <w:rsid w:val="004F460E"/>
    <w:rsid w:val="004F4F00"/>
    <w:rsid w:val="004F5BC5"/>
    <w:rsid w:val="004F664F"/>
    <w:rsid w:val="005006FD"/>
    <w:rsid w:val="00500ADC"/>
    <w:rsid w:val="00501F50"/>
    <w:rsid w:val="0050282D"/>
    <w:rsid w:val="00503D84"/>
    <w:rsid w:val="00504691"/>
    <w:rsid w:val="00505C4D"/>
    <w:rsid w:val="00506EB4"/>
    <w:rsid w:val="00506F2F"/>
    <w:rsid w:val="00506FA1"/>
    <w:rsid w:val="00507FCE"/>
    <w:rsid w:val="00510A6F"/>
    <w:rsid w:val="0051124D"/>
    <w:rsid w:val="0051222E"/>
    <w:rsid w:val="00512A5E"/>
    <w:rsid w:val="00512CFE"/>
    <w:rsid w:val="0051398B"/>
    <w:rsid w:val="00513D73"/>
    <w:rsid w:val="00513EA4"/>
    <w:rsid w:val="005145A4"/>
    <w:rsid w:val="00515081"/>
    <w:rsid w:val="005153EC"/>
    <w:rsid w:val="0051578C"/>
    <w:rsid w:val="005165DE"/>
    <w:rsid w:val="00517398"/>
    <w:rsid w:val="00517A06"/>
    <w:rsid w:val="0052004D"/>
    <w:rsid w:val="00520CAB"/>
    <w:rsid w:val="00520D3A"/>
    <w:rsid w:val="005211C9"/>
    <w:rsid w:val="00522EEE"/>
    <w:rsid w:val="00523187"/>
    <w:rsid w:val="005238BD"/>
    <w:rsid w:val="00523BCE"/>
    <w:rsid w:val="00523ED7"/>
    <w:rsid w:val="00524576"/>
    <w:rsid w:val="00524C7A"/>
    <w:rsid w:val="005267C0"/>
    <w:rsid w:val="00526928"/>
    <w:rsid w:val="00526B1E"/>
    <w:rsid w:val="00527C85"/>
    <w:rsid w:val="0053050D"/>
    <w:rsid w:val="00530D4E"/>
    <w:rsid w:val="005310E0"/>
    <w:rsid w:val="00531652"/>
    <w:rsid w:val="00531CC6"/>
    <w:rsid w:val="00532532"/>
    <w:rsid w:val="00532CFE"/>
    <w:rsid w:val="0053348C"/>
    <w:rsid w:val="0053454F"/>
    <w:rsid w:val="00534740"/>
    <w:rsid w:val="005354DE"/>
    <w:rsid w:val="00535BB2"/>
    <w:rsid w:val="005367EF"/>
    <w:rsid w:val="00537932"/>
    <w:rsid w:val="00540463"/>
    <w:rsid w:val="00540A58"/>
    <w:rsid w:val="00540AA9"/>
    <w:rsid w:val="005417FF"/>
    <w:rsid w:val="00541CB1"/>
    <w:rsid w:val="00542A93"/>
    <w:rsid w:val="00544034"/>
    <w:rsid w:val="0054429B"/>
    <w:rsid w:val="00544961"/>
    <w:rsid w:val="0054619B"/>
    <w:rsid w:val="00546F8B"/>
    <w:rsid w:val="00550639"/>
    <w:rsid w:val="00550658"/>
    <w:rsid w:val="00550780"/>
    <w:rsid w:val="00551DAD"/>
    <w:rsid w:val="00552AAE"/>
    <w:rsid w:val="00553234"/>
    <w:rsid w:val="0055358E"/>
    <w:rsid w:val="00553592"/>
    <w:rsid w:val="0055406E"/>
    <w:rsid w:val="00554769"/>
    <w:rsid w:val="00554836"/>
    <w:rsid w:val="005548EF"/>
    <w:rsid w:val="00555848"/>
    <w:rsid w:val="00555B59"/>
    <w:rsid w:val="00555BFA"/>
    <w:rsid w:val="005566F8"/>
    <w:rsid w:val="00557137"/>
    <w:rsid w:val="00557216"/>
    <w:rsid w:val="0056116A"/>
    <w:rsid w:val="005613AA"/>
    <w:rsid w:val="0056208D"/>
    <w:rsid w:val="005637C0"/>
    <w:rsid w:val="00563BC1"/>
    <w:rsid w:val="00564AB6"/>
    <w:rsid w:val="00564B57"/>
    <w:rsid w:val="00565C1D"/>
    <w:rsid w:val="005669C9"/>
    <w:rsid w:val="00566C48"/>
    <w:rsid w:val="005673D1"/>
    <w:rsid w:val="005703CA"/>
    <w:rsid w:val="00570EFD"/>
    <w:rsid w:val="00571AA0"/>
    <w:rsid w:val="0057240C"/>
    <w:rsid w:val="005726EB"/>
    <w:rsid w:val="00572719"/>
    <w:rsid w:val="00572CD0"/>
    <w:rsid w:val="00573524"/>
    <w:rsid w:val="00573C6A"/>
    <w:rsid w:val="00574AA2"/>
    <w:rsid w:val="00575C74"/>
    <w:rsid w:val="00576040"/>
    <w:rsid w:val="00576EB2"/>
    <w:rsid w:val="00577C0E"/>
    <w:rsid w:val="00577F1F"/>
    <w:rsid w:val="005800D0"/>
    <w:rsid w:val="00580533"/>
    <w:rsid w:val="00580580"/>
    <w:rsid w:val="00580C07"/>
    <w:rsid w:val="0058111C"/>
    <w:rsid w:val="0058175A"/>
    <w:rsid w:val="00583027"/>
    <w:rsid w:val="0058342C"/>
    <w:rsid w:val="0058356D"/>
    <w:rsid w:val="00583AAB"/>
    <w:rsid w:val="00585608"/>
    <w:rsid w:val="00585D0D"/>
    <w:rsid w:val="00586603"/>
    <w:rsid w:val="00587661"/>
    <w:rsid w:val="005909BB"/>
    <w:rsid w:val="0059174A"/>
    <w:rsid w:val="0059187C"/>
    <w:rsid w:val="00591A56"/>
    <w:rsid w:val="005923EA"/>
    <w:rsid w:val="00594494"/>
    <w:rsid w:val="00594665"/>
    <w:rsid w:val="005947A9"/>
    <w:rsid w:val="00594B5F"/>
    <w:rsid w:val="00594C90"/>
    <w:rsid w:val="00594CDD"/>
    <w:rsid w:val="005950BE"/>
    <w:rsid w:val="005954CD"/>
    <w:rsid w:val="00597A33"/>
    <w:rsid w:val="005A015D"/>
    <w:rsid w:val="005A02B7"/>
    <w:rsid w:val="005A0413"/>
    <w:rsid w:val="005A0C2C"/>
    <w:rsid w:val="005A1082"/>
    <w:rsid w:val="005A22F5"/>
    <w:rsid w:val="005A25C1"/>
    <w:rsid w:val="005A3434"/>
    <w:rsid w:val="005A487C"/>
    <w:rsid w:val="005A56FF"/>
    <w:rsid w:val="005A58EB"/>
    <w:rsid w:val="005B08C5"/>
    <w:rsid w:val="005B0C4B"/>
    <w:rsid w:val="005B1F02"/>
    <w:rsid w:val="005B1F27"/>
    <w:rsid w:val="005B264A"/>
    <w:rsid w:val="005B314B"/>
    <w:rsid w:val="005B3359"/>
    <w:rsid w:val="005B3683"/>
    <w:rsid w:val="005B472D"/>
    <w:rsid w:val="005B4CF0"/>
    <w:rsid w:val="005B552A"/>
    <w:rsid w:val="005B6C8C"/>
    <w:rsid w:val="005C130D"/>
    <w:rsid w:val="005C410F"/>
    <w:rsid w:val="005C41E2"/>
    <w:rsid w:val="005C46F9"/>
    <w:rsid w:val="005C5A60"/>
    <w:rsid w:val="005C67FD"/>
    <w:rsid w:val="005C7374"/>
    <w:rsid w:val="005C7EB4"/>
    <w:rsid w:val="005C7FEF"/>
    <w:rsid w:val="005D1E0F"/>
    <w:rsid w:val="005D21C2"/>
    <w:rsid w:val="005D2ADD"/>
    <w:rsid w:val="005D3CDE"/>
    <w:rsid w:val="005D3F3F"/>
    <w:rsid w:val="005D4669"/>
    <w:rsid w:val="005D474D"/>
    <w:rsid w:val="005D4B2F"/>
    <w:rsid w:val="005D4E8D"/>
    <w:rsid w:val="005D5623"/>
    <w:rsid w:val="005D63BA"/>
    <w:rsid w:val="005D68BF"/>
    <w:rsid w:val="005D6C47"/>
    <w:rsid w:val="005E005A"/>
    <w:rsid w:val="005E0A63"/>
    <w:rsid w:val="005E1366"/>
    <w:rsid w:val="005E1681"/>
    <w:rsid w:val="005E168B"/>
    <w:rsid w:val="005E2CAF"/>
    <w:rsid w:val="005E3B4C"/>
    <w:rsid w:val="005E48A0"/>
    <w:rsid w:val="005E5B82"/>
    <w:rsid w:val="005E7D7D"/>
    <w:rsid w:val="005F0062"/>
    <w:rsid w:val="005F01FA"/>
    <w:rsid w:val="005F0B02"/>
    <w:rsid w:val="005F11EC"/>
    <w:rsid w:val="005F2228"/>
    <w:rsid w:val="005F254D"/>
    <w:rsid w:val="005F2EFA"/>
    <w:rsid w:val="005F3731"/>
    <w:rsid w:val="005F410F"/>
    <w:rsid w:val="005F425A"/>
    <w:rsid w:val="005F4953"/>
    <w:rsid w:val="005F4DC2"/>
    <w:rsid w:val="005F4FFC"/>
    <w:rsid w:val="005F580E"/>
    <w:rsid w:val="005F5DE0"/>
    <w:rsid w:val="0060024A"/>
    <w:rsid w:val="006004EA"/>
    <w:rsid w:val="00600631"/>
    <w:rsid w:val="0060128C"/>
    <w:rsid w:val="00601A81"/>
    <w:rsid w:val="006020BC"/>
    <w:rsid w:val="006020F8"/>
    <w:rsid w:val="00602FCD"/>
    <w:rsid w:val="0060345D"/>
    <w:rsid w:val="00603E32"/>
    <w:rsid w:val="0060443B"/>
    <w:rsid w:val="00604490"/>
    <w:rsid w:val="00604CFC"/>
    <w:rsid w:val="00606427"/>
    <w:rsid w:val="00606630"/>
    <w:rsid w:val="006071BD"/>
    <w:rsid w:val="006071DE"/>
    <w:rsid w:val="00610547"/>
    <w:rsid w:val="00611278"/>
    <w:rsid w:val="00611393"/>
    <w:rsid w:val="00611771"/>
    <w:rsid w:val="00611B4E"/>
    <w:rsid w:val="006122BA"/>
    <w:rsid w:val="0061293C"/>
    <w:rsid w:val="00613B8E"/>
    <w:rsid w:val="00613F19"/>
    <w:rsid w:val="00614011"/>
    <w:rsid w:val="00615E92"/>
    <w:rsid w:val="00616132"/>
    <w:rsid w:val="00616D33"/>
    <w:rsid w:val="00616F7E"/>
    <w:rsid w:val="00617AE9"/>
    <w:rsid w:val="00617E9B"/>
    <w:rsid w:val="006200B1"/>
    <w:rsid w:val="006201A6"/>
    <w:rsid w:val="00620241"/>
    <w:rsid w:val="006218EC"/>
    <w:rsid w:val="00621E6D"/>
    <w:rsid w:val="006225A3"/>
    <w:rsid w:val="0062290A"/>
    <w:rsid w:val="00623361"/>
    <w:rsid w:val="00623C4B"/>
    <w:rsid w:val="00624350"/>
    <w:rsid w:val="006244DC"/>
    <w:rsid w:val="00624559"/>
    <w:rsid w:val="00624657"/>
    <w:rsid w:val="00625607"/>
    <w:rsid w:val="00625636"/>
    <w:rsid w:val="00625C17"/>
    <w:rsid w:val="006262D9"/>
    <w:rsid w:val="0062677A"/>
    <w:rsid w:val="00626F66"/>
    <w:rsid w:val="00627077"/>
    <w:rsid w:val="00627175"/>
    <w:rsid w:val="00630A78"/>
    <w:rsid w:val="00630F99"/>
    <w:rsid w:val="006311EE"/>
    <w:rsid w:val="00631214"/>
    <w:rsid w:val="0063142D"/>
    <w:rsid w:val="00631F86"/>
    <w:rsid w:val="006325A4"/>
    <w:rsid w:val="00632A56"/>
    <w:rsid w:val="00632EAD"/>
    <w:rsid w:val="00634935"/>
    <w:rsid w:val="00634B02"/>
    <w:rsid w:val="00634B3A"/>
    <w:rsid w:val="00637D01"/>
    <w:rsid w:val="006404E6"/>
    <w:rsid w:val="006409DD"/>
    <w:rsid w:val="00640E62"/>
    <w:rsid w:val="0064193A"/>
    <w:rsid w:val="00641CDC"/>
    <w:rsid w:val="00641DEC"/>
    <w:rsid w:val="006432F0"/>
    <w:rsid w:val="00643465"/>
    <w:rsid w:val="00643C14"/>
    <w:rsid w:val="00645F09"/>
    <w:rsid w:val="00646E07"/>
    <w:rsid w:val="00646F18"/>
    <w:rsid w:val="006470FA"/>
    <w:rsid w:val="00651C0C"/>
    <w:rsid w:val="00652008"/>
    <w:rsid w:val="0065308A"/>
    <w:rsid w:val="00653DFC"/>
    <w:rsid w:val="00654976"/>
    <w:rsid w:val="00655BF2"/>
    <w:rsid w:val="006568FC"/>
    <w:rsid w:val="00657019"/>
    <w:rsid w:val="006572E9"/>
    <w:rsid w:val="00657D52"/>
    <w:rsid w:val="00660036"/>
    <w:rsid w:val="006618BB"/>
    <w:rsid w:val="00662B41"/>
    <w:rsid w:val="006634F2"/>
    <w:rsid w:val="006645EB"/>
    <w:rsid w:val="00664ED8"/>
    <w:rsid w:val="0066514C"/>
    <w:rsid w:val="00666489"/>
    <w:rsid w:val="00667975"/>
    <w:rsid w:val="00667E5E"/>
    <w:rsid w:val="0067052A"/>
    <w:rsid w:val="006705B1"/>
    <w:rsid w:val="00670618"/>
    <w:rsid w:val="00671127"/>
    <w:rsid w:val="0067212F"/>
    <w:rsid w:val="00672BE4"/>
    <w:rsid w:val="006735B5"/>
    <w:rsid w:val="00673B6B"/>
    <w:rsid w:val="00673CEA"/>
    <w:rsid w:val="00674CC1"/>
    <w:rsid w:val="00674E33"/>
    <w:rsid w:val="006751B4"/>
    <w:rsid w:val="006758B3"/>
    <w:rsid w:val="00675F78"/>
    <w:rsid w:val="006772AB"/>
    <w:rsid w:val="006779FC"/>
    <w:rsid w:val="00680CB4"/>
    <w:rsid w:val="006818B0"/>
    <w:rsid w:val="00682141"/>
    <w:rsid w:val="00682560"/>
    <w:rsid w:val="00682A37"/>
    <w:rsid w:val="00683DE6"/>
    <w:rsid w:val="00683EB3"/>
    <w:rsid w:val="00684E10"/>
    <w:rsid w:val="00686C68"/>
    <w:rsid w:val="00687834"/>
    <w:rsid w:val="00687988"/>
    <w:rsid w:val="006879AD"/>
    <w:rsid w:val="00690016"/>
    <w:rsid w:val="00690487"/>
    <w:rsid w:val="00691462"/>
    <w:rsid w:val="006914CD"/>
    <w:rsid w:val="006918E8"/>
    <w:rsid w:val="006938F7"/>
    <w:rsid w:val="00694DB3"/>
    <w:rsid w:val="006955E7"/>
    <w:rsid w:val="00696EB9"/>
    <w:rsid w:val="00697916"/>
    <w:rsid w:val="006979AE"/>
    <w:rsid w:val="00697EC6"/>
    <w:rsid w:val="006A0FFB"/>
    <w:rsid w:val="006A19C6"/>
    <w:rsid w:val="006A2F04"/>
    <w:rsid w:val="006A321D"/>
    <w:rsid w:val="006A4965"/>
    <w:rsid w:val="006A49D9"/>
    <w:rsid w:val="006A530D"/>
    <w:rsid w:val="006A54C3"/>
    <w:rsid w:val="006A5D05"/>
    <w:rsid w:val="006A5EF7"/>
    <w:rsid w:val="006B083D"/>
    <w:rsid w:val="006B0D14"/>
    <w:rsid w:val="006B0D69"/>
    <w:rsid w:val="006B1373"/>
    <w:rsid w:val="006B14C6"/>
    <w:rsid w:val="006B260F"/>
    <w:rsid w:val="006B474D"/>
    <w:rsid w:val="006B6A6D"/>
    <w:rsid w:val="006C00AD"/>
    <w:rsid w:val="006C09A0"/>
    <w:rsid w:val="006C0C31"/>
    <w:rsid w:val="006C0C58"/>
    <w:rsid w:val="006C0D07"/>
    <w:rsid w:val="006C1927"/>
    <w:rsid w:val="006C2E45"/>
    <w:rsid w:val="006C31DA"/>
    <w:rsid w:val="006C39ED"/>
    <w:rsid w:val="006C4188"/>
    <w:rsid w:val="006C4257"/>
    <w:rsid w:val="006C4C6A"/>
    <w:rsid w:val="006C65C9"/>
    <w:rsid w:val="006C6ED0"/>
    <w:rsid w:val="006D0574"/>
    <w:rsid w:val="006D0633"/>
    <w:rsid w:val="006D0B3B"/>
    <w:rsid w:val="006D1340"/>
    <w:rsid w:val="006D2288"/>
    <w:rsid w:val="006D2488"/>
    <w:rsid w:val="006D26D0"/>
    <w:rsid w:val="006D2F7C"/>
    <w:rsid w:val="006D3547"/>
    <w:rsid w:val="006D36B6"/>
    <w:rsid w:val="006D3908"/>
    <w:rsid w:val="006D400D"/>
    <w:rsid w:val="006D5570"/>
    <w:rsid w:val="006D608C"/>
    <w:rsid w:val="006D6B73"/>
    <w:rsid w:val="006D6DA2"/>
    <w:rsid w:val="006D7F4F"/>
    <w:rsid w:val="006D7FB1"/>
    <w:rsid w:val="006E00AD"/>
    <w:rsid w:val="006E1336"/>
    <w:rsid w:val="006E1A07"/>
    <w:rsid w:val="006E1D69"/>
    <w:rsid w:val="006E20FA"/>
    <w:rsid w:val="006E2254"/>
    <w:rsid w:val="006E357E"/>
    <w:rsid w:val="006E38BF"/>
    <w:rsid w:val="006E3BC3"/>
    <w:rsid w:val="006E3FE6"/>
    <w:rsid w:val="006E3FF2"/>
    <w:rsid w:val="006E413F"/>
    <w:rsid w:val="006E56CF"/>
    <w:rsid w:val="006E5818"/>
    <w:rsid w:val="006E6052"/>
    <w:rsid w:val="006E60EE"/>
    <w:rsid w:val="006E659A"/>
    <w:rsid w:val="006E6700"/>
    <w:rsid w:val="006E76CE"/>
    <w:rsid w:val="006E7790"/>
    <w:rsid w:val="006E79A3"/>
    <w:rsid w:val="006E7AD3"/>
    <w:rsid w:val="006F01F5"/>
    <w:rsid w:val="006F027C"/>
    <w:rsid w:val="006F0595"/>
    <w:rsid w:val="006F16D0"/>
    <w:rsid w:val="006F22D2"/>
    <w:rsid w:val="006F237B"/>
    <w:rsid w:val="006F2BAE"/>
    <w:rsid w:val="006F36B3"/>
    <w:rsid w:val="006F3C60"/>
    <w:rsid w:val="006F4027"/>
    <w:rsid w:val="006F40C7"/>
    <w:rsid w:val="006F4E36"/>
    <w:rsid w:val="006F574A"/>
    <w:rsid w:val="006F589A"/>
    <w:rsid w:val="006F797A"/>
    <w:rsid w:val="006F7C2D"/>
    <w:rsid w:val="00701201"/>
    <w:rsid w:val="00701F01"/>
    <w:rsid w:val="007025E6"/>
    <w:rsid w:val="00702782"/>
    <w:rsid w:val="0070396E"/>
    <w:rsid w:val="00703D46"/>
    <w:rsid w:val="00704794"/>
    <w:rsid w:val="00704882"/>
    <w:rsid w:val="00704D45"/>
    <w:rsid w:val="007052FE"/>
    <w:rsid w:val="00705B0C"/>
    <w:rsid w:val="00705F5D"/>
    <w:rsid w:val="007069CC"/>
    <w:rsid w:val="00706BE0"/>
    <w:rsid w:val="00707B25"/>
    <w:rsid w:val="00707B8E"/>
    <w:rsid w:val="00707FDD"/>
    <w:rsid w:val="0071035B"/>
    <w:rsid w:val="007105F4"/>
    <w:rsid w:val="00710CA1"/>
    <w:rsid w:val="00712CBD"/>
    <w:rsid w:val="007130D3"/>
    <w:rsid w:val="007134E1"/>
    <w:rsid w:val="00713565"/>
    <w:rsid w:val="00713A87"/>
    <w:rsid w:val="00713BD7"/>
    <w:rsid w:val="00714E7D"/>
    <w:rsid w:val="00715150"/>
    <w:rsid w:val="007156FA"/>
    <w:rsid w:val="007167AB"/>
    <w:rsid w:val="00716D7F"/>
    <w:rsid w:val="00717B38"/>
    <w:rsid w:val="0072106A"/>
    <w:rsid w:val="007215B8"/>
    <w:rsid w:val="0072206B"/>
    <w:rsid w:val="00723766"/>
    <w:rsid w:val="0072385B"/>
    <w:rsid w:val="007246F6"/>
    <w:rsid w:val="007247CC"/>
    <w:rsid w:val="00724A36"/>
    <w:rsid w:val="00724A95"/>
    <w:rsid w:val="00730898"/>
    <w:rsid w:val="00730C73"/>
    <w:rsid w:val="00731361"/>
    <w:rsid w:val="0073136D"/>
    <w:rsid w:val="00731541"/>
    <w:rsid w:val="00731D16"/>
    <w:rsid w:val="0073274A"/>
    <w:rsid w:val="00733B04"/>
    <w:rsid w:val="0073420F"/>
    <w:rsid w:val="007356FE"/>
    <w:rsid w:val="007359AD"/>
    <w:rsid w:val="0073684B"/>
    <w:rsid w:val="00737F67"/>
    <w:rsid w:val="00740474"/>
    <w:rsid w:val="00740DD3"/>
    <w:rsid w:val="007416E0"/>
    <w:rsid w:val="00741B59"/>
    <w:rsid w:val="00742266"/>
    <w:rsid w:val="007424F3"/>
    <w:rsid w:val="00742AB4"/>
    <w:rsid w:val="00743353"/>
    <w:rsid w:val="0074337A"/>
    <w:rsid w:val="0074347F"/>
    <w:rsid w:val="00743C16"/>
    <w:rsid w:val="00743C94"/>
    <w:rsid w:val="00743F14"/>
    <w:rsid w:val="00744D92"/>
    <w:rsid w:val="0074504A"/>
    <w:rsid w:val="00745109"/>
    <w:rsid w:val="007451EB"/>
    <w:rsid w:val="00746CD5"/>
    <w:rsid w:val="0074718A"/>
    <w:rsid w:val="00750C46"/>
    <w:rsid w:val="0075389F"/>
    <w:rsid w:val="00754360"/>
    <w:rsid w:val="007548C3"/>
    <w:rsid w:val="007554C2"/>
    <w:rsid w:val="00755552"/>
    <w:rsid w:val="007565C5"/>
    <w:rsid w:val="00756C48"/>
    <w:rsid w:val="00756C70"/>
    <w:rsid w:val="0075718D"/>
    <w:rsid w:val="007579C9"/>
    <w:rsid w:val="007600E8"/>
    <w:rsid w:val="007600F4"/>
    <w:rsid w:val="0076063A"/>
    <w:rsid w:val="007616EC"/>
    <w:rsid w:val="00761BF4"/>
    <w:rsid w:val="007628F4"/>
    <w:rsid w:val="00762BE9"/>
    <w:rsid w:val="00762D85"/>
    <w:rsid w:val="007633D1"/>
    <w:rsid w:val="007637A5"/>
    <w:rsid w:val="00763D96"/>
    <w:rsid w:val="00764178"/>
    <w:rsid w:val="0076427B"/>
    <w:rsid w:val="00764E78"/>
    <w:rsid w:val="007650CF"/>
    <w:rsid w:val="00766001"/>
    <w:rsid w:val="00766424"/>
    <w:rsid w:val="007664C1"/>
    <w:rsid w:val="00766D86"/>
    <w:rsid w:val="007670BF"/>
    <w:rsid w:val="00767B10"/>
    <w:rsid w:val="00770CCD"/>
    <w:rsid w:val="00770EF0"/>
    <w:rsid w:val="00771675"/>
    <w:rsid w:val="007717F9"/>
    <w:rsid w:val="00772019"/>
    <w:rsid w:val="007726F9"/>
    <w:rsid w:val="00772DAC"/>
    <w:rsid w:val="00773E49"/>
    <w:rsid w:val="00774510"/>
    <w:rsid w:val="00774876"/>
    <w:rsid w:val="007748EA"/>
    <w:rsid w:val="007756CA"/>
    <w:rsid w:val="007762A7"/>
    <w:rsid w:val="00776B34"/>
    <w:rsid w:val="00781299"/>
    <w:rsid w:val="007817B5"/>
    <w:rsid w:val="00781BA6"/>
    <w:rsid w:val="007822AF"/>
    <w:rsid w:val="007824A8"/>
    <w:rsid w:val="00782FD5"/>
    <w:rsid w:val="00783454"/>
    <w:rsid w:val="007843E0"/>
    <w:rsid w:val="007847EA"/>
    <w:rsid w:val="007863C4"/>
    <w:rsid w:val="007864A9"/>
    <w:rsid w:val="00787661"/>
    <w:rsid w:val="0078787A"/>
    <w:rsid w:val="0079080D"/>
    <w:rsid w:val="00790A83"/>
    <w:rsid w:val="0079141F"/>
    <w:rsid w:val="00791D3A"/>
    <w:rsid w:val="00791E59"/>
    <w:rsid w:val="00791FD2"/>
    <w:rsid w:val="00792157"/>
    <w:rsid w:val="0079308A"/>
    <w:rsid w:val="00793247"/>
    <w:rsid w:val="007937BB"/>
    <w:rsid w:val="00793A6A"/>
    <w:rsid w:val="0079493B"/>
    <w:rsid w:val="00795395"/>
    <w:rsid w:val="00795708"/>
    <w:rsid w:val="00796CA3"/>
    <w:rsid w:val="00797061"/>
    <w:rsid w:val="00797608"/>
    <w:rsid w:val="007A0B97"/>
    <w:rsid w:val="007A0F7B"/>
    <w:rsid w:val="007A18D5"/>
    <w:rsid w:val="007A20FA"/>
    <w:rsid w:val="007A2673"/>
    <w:rsid w:val="007A2E5D"/>
    <w:rsid w:val="007A3E25"/>
    <w:rsid w:val="007A485A"/>
    <w:rsid w:val="007A59B8"/>
    <w:rsid w:val="007A688C"/>
    <w:rsid w:val="007A6FC5"/>
    <w:rsid w:val="007A71AD"/>
    <w:rsid w:val="007A7A2D"/>
    <w:rsid w:val="007A7EE0"/>
    <w:rsid w:val="007B0584"/>
    <w:rsid w:val="007B0FF4"/>
    <w:rsid w:val="007B1384"/>
    <w:rsid w:val="007B1E01"/>
    <w:rsid w:val="007B219C"/>
    <w:rsid w:val="007B2BAE"/>
    <w:rsid w:val="007B3D86"/>
    <w:rsid w:val="007B434A"/>
    <w:rsid w:val="007B4558"/>
    <w:rsid w:val="007B4E80"/>
    <w:rsid w:val="007B510A"/>
    <w:rsid w:val="007B5B76"/>
    <w:rsid w:val="007B6FAD"/>
    <w:rsid w:val="007B7CAC"/>
    <w:rsid w:val="007C06A4"/>
    <w:rsid w:val="007C0A1A"/>
    <w:rsid w:val="007C0C0A"/>
    <w:rsid w:val="007C0DFA"/>
    <w:rsid w:val="007C2E12"/>
    <w:rsid w:val="007C37E8"/>
    <w:rsid w:val="007C3C5D"/>
    <w:rsid w:val="007C3EEA"/>
    <w:rsid w:val="007C4980"/>
    <w:rsid w:val="007C4C0C"/>
    <w:rsid w:val="007C5020"/>
    <w:rsid w:val="007C52AB"/>
    <w:rsid w:val="007C5E49"/>
    <w:rsid w:val="007C657F"/>
    <w:rsid w:val="007C6846"/>
    <w:rsid w:val="007C6C46"/>
    <w:rsid w:val="007C6FD8"/>
    <w:rsid w:val="007C77FF"/>
    <w:rsid w:val="007D0D17"/>
    <w:rsid w:val="007D1A37"/>
    <w:rsid w:val="007D1A51"/>
    <w:rsid w:val="007D1AE8"/>
    <w:rsid w:val="007D2154"/>
    <w:rsid w:val="007D2347"/>
    <w:rsid w:val="007D27FF"/>
    <w:rsid w:val="007D31B0"/>
    <w:rsid w:val="007D3723"/>
    <w:rsid w:val="007D3765"/>
    <w:rsid w:val="007D4374"/>
    <w:rsid w:val="007D4940"/>
    <w:rsid w:val="007D6591"/>
    <w:rsid w:val="007D6924"/>
    <w:rsid w:val="007D7218"/>
    <w:rsid w:val="007D774D"/>
    <w:rsid w:val="007E0B88"/>
    <w:rsid w:val="007E1142"/>
    <w:rsid w:val="007E1CD4"/>
    <w:rsid w:val="007E21F6"/>
    <w:rsid w:val="007E2249"/>
    <w:rsid w:val="007E2A95"/>
    <w:rsid w:val="007E38AA"/>
    <w:rsid w:val="007E3EE5"/>
    <w:rsid w:val="007E4C15"/>
    <w:rsid w:val="007E4F39"/>
    <w:rsid w:val="007E6008"/>
    <w:rsid w:val="007E673A"/>
    <w:rsid w:val="007E7F64"/>
    <w:rsid w:val="007E7FAF"/>
    <w:rsid w:val="007F0315"/>
    <w:rsid w:val="007F0AE4"/>
    <w:rsid w:val="007F2285"/>
    <w:rsid w:val="007F269A"/>
    <w:rsid w:val="007F2DFD"/>
    <w:rsid w:val="007F5563"/>
    <w:rsid w:val="007F5B1F"/>
    <w:rsid w:val="007F6799"/>
    <w:rsid w:val="007F6D57"/>
    <w:rsid w:val="007F7331"/>
    <w:rsid w:val="007F74B0"/>
    <w:rsid w:val="00800902"/>
    <w:rsid w:val="00800E7C"/>
    <w:rsid w:val="0080147F"/>
    <w:rsid w:val="00801D3F"/>
    <w:rsid w:val="00802F50"/>
    <w:rsid w:val="0080482E"/>
    <w:rsid w:val="0080658A"/>
    <w:rsid w:val="00806773"/>
    <w:rsid w:val="00807641"/>
    <w:rsid w:val="00810640"/>
    <w:rsid w:val="00810C62"/>
    <w:rsid w:val="00811A09"/>
    <w:rsid w:val="00811CFB"/>
    <w:rsid w:val="00812AF1"/>
    <w:rsid w:val="0081374B"/>
    <w:rsid w:val="008140BD"/>
    <w:rsid w:val="00814730"/>
    <w:rsid w:val="008159F2"/>
    <w:rsid w:val="00815B5D"/>
    <w:rsid w:val="00815D21"/>
    <w:rsid w:val="00815E3C"/>
    <w:rsid w:val="00816E01"/>
    <w:rsid w:val="00817C54"/>
    <w:rsid w:val="008203DE"/>
    <w:rsid w:val="00821684"/>
    <w:rsid w:val="008221B5"/>
    <w:rsid w:val="00823AA1"/>
    <w:rsid w:val="008240E3"/>
    <w:rsid w:val="00825ED1"/>
    <w:rsid w:val="00826045"/>
    <w:rsid w:val="00826EE0"/>
    <w:rsid w:val="00827353"/>
    <w:rsid w:val="00827638"/>
    <w:rsid w:val="00827D43"/>
    <w:rsid w:val="008309A3"/>
    <w:rsid w:val="008316C4"/>
    <w:rsid w:val="008316CB"/>
    <w:rsid w:val="00831A76"/>
    <w:rsid w:val="008332B6"/>
    <w:rsid w:val="008339F9"/>
    <w:rsid w:val="00833A37"/>
    <w:rsid w:val="00833F8A"/>
    <w:rsid w:val="0083427A"/>
    <w:rsid w:val="00834D91"/>
    <w:rsid w:val="00835783"/>
    <w:rsid w:val="00835D64"/>
    <w:rsid w:val="00836FD1"/>
    <w:rsid w:val="0084069F"/>
    <w:rsid w:val="00840C0A"/>
    <w:rsid w:val="00841BEB"/>
    <w:rsid w:val="00841D80"/>
    <w:rsid w:val="00842F0B"/>
    <w:rsid w:val="008433E8"/>
    <w:rsid w:val="0084345F"/>
    <w:rsid w:val="00843AF3"/>
    <w:rsid w:val="008441FD"/>
    <w:rsid w:val="0084442B"/>
    <w:rsid w:val="00845A95"/>
    <w:rsid w:val="008505FA"/>
    <w:rsid w:val="00850769"/>
    <w:rsid w:val="00850DD6"/>
    <w:rsid w:val="008514CC"/>
    <w:rsid w:val="00852E63"/>
    <w:rsid w:val="00853C6C"/>
    <w:rsid w:val="0085402E"/>
    <w:rsid w:val="00854AD4"/>
    <w:rsid w:val="0085553B"/>
    <w:rsid w:val="00857292"/>
    <w:rsid w:val="00860682"/>
    <w:rsid w:val="008622B4"/>
    <w:rsid w:val="008625DF"/>
    <w:rsid w:val="00863546"/>
    <w:rsid w:val="00864169"/>
    <w:rsid w:val="00864348"/>
    <w:rsid w:val="00864D99"/>
    <w:rsid w:val="00865C03"/>
    <w:rsid w:val="00865C26"/>
    <w:rsid w:val="0086644A"/>
    <w:rsid w:val="00866901"/>
    <w:rsid w:val="00867994"/>
    <w:rsid w:val="00870167"/>
    <w:rsid w:val="00870219"/>
    <w:rsid w:val="00870269"/>
    <w:rsid w:val="00870620"/>
    <w:rsid w:val="00871A2A"/>
    <w:rsid w:val="00871E0F"/>
    <w:rsid w:val="00872097"/>
    <w:rsid w:val="00872C4A"/>
    <w:rsid w:val="0087368B"/>
    <w:rsid w:val="0087384A"/>
    <w:rsid w:val="00873B7A"/>
    <w:rsid w:val="00874232"/>
    <w:rsid w:val="008746E2"/>
    <w:rsid w:val="00874D07"/>
    <w:rsid w:val="00875458"/>
    <w:rsid w:val="00875940"/>
    <w:rsid w:val="00875D93"/>
    <w:rsid w:val="00876F9D"/>
    <w:rsid w:val="0088037A"/>
    <w:rsid w:val="00882A8A"/>
    <w:rsid w:val="00882D98"/>
    <w:rsid w:val="008835B5"/>
    <w:rsid w:val="00883F22"/>
    <w:rsid w:val="00884C3E"/>
    <w:rsid w:val="008850F6"/>
    <w:rsid w:val="00886685"/>
    <w:rsid w:val="00890640"/>
    <w:rsid w:val="008906D5"/>
    <w:rsid w:val="00890988"/>
    <w:rsid w:val="00892F42"/>
    <w:rsid w:val="00892FFB"/>
    <w:rsid w:val="0089392A"/>
    <w:rsid w:val="00893B97"/>
    <w:rsid w:val="00893F04"/>
    <w:rsid w:val="00893F0B"/>
    <w:rsid w:val="00894AE9"/>
    <w:rsid w:val="00895736"/>
    <w:rsid w:val="00895890"/>
    <w:rsid w:val="0089621A"/>
    <w:rsid w:val="008A067F"/>
    <w:rsid w:val="008A1263"/>
    <w:rsid w:val="008A19D5"/>
    <w:rsid w:val="008A3CCC"/>
    <w:rsid w:val="008A3DFA"/>
    <w:rsid w:val="008A3F90"/>
    <w:rsid w:val="008A4C2A"/>
    <w:rsid w:val="008A50DD"/>
    <w:rsid w:val="008A57A7"/>
    <w:rsid w:val="008A57A9"/>
    <w:rsid w:val="008A6F0A"/>
    <w:rsid w:val="008A74C4"/>
    <w:rsid w:val="008A7CD8"/>
    <w:rsid w:val="008A7D7B"/>
    <w:rsid w:val="008B25C0"/>
    <w:rsid w:val="008B3EF4"/>
    <w:rsid w:val="008B72A4"/>
    <w:rsid w:val="008B7F78"/>
    <w:rsid w:val="008C00F2"/>
    <w:rsid w:val="008C0250"/>
    <w:rsid w:val="008C0291"/>
    <w:rsid w:val="008C0591"/>
    <w:rsid w:val="008C07C6"/>
    <w:rsid w:val="008C0E1F"/>
    <w:rsid w:val="008C29AE"/>
    <w:rsid w:val="008C3A22"/>
    <w:rsid w:val="008C3A9D"/>
    <w:rsid w:val="008C4CDE"/>
    <w:rsid w:val="008C585B"/>
    <w:rsid w:val="008C5E94"/>
    <w:rsid w:val="008C61E4"/>
    <w:rsid w:val="008C6E78"/>
    <w:rsid w:val="008C78CE"/>
    <w:rsid w:val="008D19F9"/>
    <w:rsid w:val="008D1FFB"/>
    <w:rsid w:val="008D3AE5"/>
    <w:rsid w:val="008D3B69"/>
    <w:rsid w:val="008D3FC5"/>
    <w:rsid w:val="008D492C"/>
    <w:rsid w:val="008D4A73"/>
    <w:rsid w:val="008D4BB1"/>
    <w:rsid w:val="008D558A"/>
    <w:rsid w:val="008D5869"/>
    <w:rsid w:val="008D639A"/>
    <w:rsid w:val="008D790E"/>
    <w:rsid w:val="008D7BF7"/>
    <w:rsid w:val="008E0903"/>
    <w:rsid w:val="008E11EC"/>
    <w:rsid w:val="008E137C"/>
    <w:rsid w:val="008E178F"/>
    <w:rsid w:val="008E1A65"/>
    <w:rsid w:val="008E1D6A"/>
    <w:rsid w:val="008E4684"/>
    <w:rsid w:val="008E484A"/>
    <w:rsid w:val="008E4C85"/>
    <w:rsid w:val="008E586D"/>
    <w:rsid w:val="008E724A"/>
    <w:rsid w:val="008E769A"/>
    <w:rsid w:val="008E7E81"/>
    <w:rsid w:val="008F02E0"/>
    <w:rsid w:val="008F0501"/>
    <w:rsid w:val="008F0573"/>
    <w:rsid w:val="008F0A18"/>
    <w:rsid w:val="008F1D90"/>
    <w:rsid w:val="008F21AB"/>
    <w:rsid w:val="008F2A5A"/>
    <w:rsid w:val="008F2EA5"/>
    <w:rsid w:val="008F2FB0"/>
    <w:rsid w:val="008F4486"/>
    <w:rsid w:val="008F513B"/>
    <w:rsid w:val="008F5D5D"/>
    <w:rsid w:val="008F69EF"/>
    <w:rsid w:val="008F724B"/>
    <w:rsid w:val="008F73C5"/>
    <w:rsid w:val="008F7FB3"/>
    <w:rsid w:val="009016E5"/>
    <w:rsid w:val="009026EA"/>
    <w:rsid w:val="00903A09"/>
    <w:rsid w:val="00904656"/>
    <w:rsid w:val="00904AE6"/>
    <w:rsid w:val="00905023"/>
    <w:rsid w:val="009053EA"/>
    <w:rsid w:val="00905673"/>
    <w:rsid w:val="00905B19"/>
    <w:rsid w:val="0090634A"/>
    <w:rsid w:val="00906F90"/>
    <w:rsid w:val="00906FDD"/>
    <w:rsid w:val="00907363"/>
    <w:rsid w:val="00910CE6"/>
    <w:rsid w:val="00911A8F"/>
    <w:rsid w:val="00911BE7"/>
    <w:rsid w:val="00913AD3"/>
    <w:rsid w:val="00913E14"/>
    <w:rsid w:val="00914380"/>
    <w:rsid w:val="00914653"/>
    <w:rsid w:val="00914D18"/>
    <w:rsid w:val="00914DDA"/>
    <w:rsid w:val="00915EA7"/>
    <w:rsid w:val="00915FDF"/>
    <w:rsid w:val="00916489"/>
    <w:rsid w:val="00916D18"/>
    <w:rsid w:val="0092066D"/>
    <w:rsid w:val="00920F7B"/>
    <w:rsid w:val="00920FE0"/>
    <w:rsid w:val="0092120C"/>
    <w:rsid w:val="00921738"/>
    <w:rsid w:val="00921A4E"/>
    <w:rsid w:val="009240E4"/>
    <w:rsid w:val="00925108"/>
    <w:rsid w:val="00925210"/>
    <w:rsid w:val="009258E8"/>
    <w:rsid w:val="00925BA6"/>
    <w:rsid w:val="00925C2E"/>
    <w:rsid w:val="0092602C"/>
    <w:rsid w:val="00926D98"/>
    <w:rsid w:val="009271E7"/>
    <w:rsid w:val="009277A6"/>
    <w:rsid w:val="00930A1D"/>
    <w:rsid w:val="009313B8"/>
    <w:rsid w:val="00931ECF"/>
    <w:rsid w:val="0093242C"/>
    <w:rsid w:val="00932D12"/>
    <w:rsid w:val="00932D6B"/>
    <w:rsid w:val="009335F6"/>
    <w:rsid w:val="009339CE"/>
    <w:rsid w:val="00934FED"/>
    <w:rsid w:val="00935308"/>
    <w:rsid w:val="009357F8"/>
    <w:rsid w:val="00935884"/>
    <w:rsid w:val="0093593F"/>
    <w:rsid w:val="00936861"/>
    <w:rsid w:val="00936C08"/>
    <w:rsid w:val="0093745B"/>
    <w:rsid w:val="009417BD"/>
    <w:rsid w:val="00941ACA"/>
    <w:rsid w:val="00941BAD"/>
    <w:rsid w:val="009422BF"/>
    <w:rsid w:val="0094279B"/>
    <w:rsid w:val="00943609"/>
    <w:rsid w:val="00943EB9"/>
    <w:rsid w:val="009441F6"/>
    <w:rsid w:val="00944A68"/>
    <w:rsid w:val="00946FB4"/>
    <w:rsid w:val="009470BF"/>
    <w:rsid w:val="009472FD"/>
    <w:rsid w:val="009476FA"/>
    <w:rsid w:val="00951383"/>
    <w:rsid w:val="00952B73"/>
    <w:rsid w:val="00952F43"/>
    <w:rsid w:val="0095373D"/>
    <w:rsid w:val="009543AC"/>
    <w:rsid w:val="00954BFC"/>
    <w:rsid w:val="00956ABC"/>
    <w:rsid w:val="00957B47"/>
    <w:rsid w:val="009603A7"/>
    <w:rsid w:val="009617B9"/>
    <w:rsid w:val="00962BE8"/>
    <w:rsid w:val="00962F81"/>
    <w:rsid w:val="009631D9"/>
    <w:rsid w:val="009633D6"/>
    <w:rsid w:val="00964018"/>
    <w:rsid w:val="00964450"/>
    <w:rsid w:val="00964AF5"/>
    <w:rsid w:val="00967FAE"/>
    <w:rsid w:val="00970230"/>
    <w:rsid w:val="00970DE5"/>
    <w:rsid w:val="009719D5"/>
    <w:rsid w:val="009722D1"/>
    <w:rsid w:val="00972895"/>
    <w:rsid w:val="00972ED0"/>
    <w:rsid w:val="0097344C"/>
    <w:rsid w:val="00973BE1"/>
    <w:rsid w:val="00974951"/>
    <w:rsid w:val="00974AB9"/>
    <w:rsid w:val="00975643"/>
    <w:rsid w:val="009756F7"/>
    <w:rsid w:val="00975B47"/>
    <w:rsid w:val="00976342"/>
    <w:rsid w:val="009769C5"/>
    <w:rsid w:val="00976D93"/>
    <w:rsid w:val="00976FD1"/>
    <w:rsid w:val="00977A58"/>
    <w:rsid w:val="00980E7F"/>
    <w:rsid w:val="00981917"/>
    <w:rsid w:val="0098194B"/>
    <w:rsid w:val="0098286C"/>
    <w:rsid w:val="009828A2"/>
    <w:rsid w:val="00982CB7"/>
    <w:rsid w:val="00983195"/>
    <w:rsid w:val="00983A6D"/>
    <w:rsid w:val="00983CCF"/>
    <w:rsid w:val="00983D12"/>
    <w:rsid w:val="00984DD0"/>
    <w:rsid w:val="00984F39"/>
    <w:rsid w:val="009862E3"/>
    <w:rsid w:val="00986A5E"/>
    <w:rsid w:val="00987789"/>
    <w:rsid w:val="00987829"/>
    <w:rsid w:val="00987B78"/>
    <w:rsid w:val="00987CE3"/>
    <w:rsid w:val="009908E3"/>
    <w:rsid w:val="00990A37"/>
    <w:rsid w:val="00990C31"/>
    <w:rsid w:val="00991286"/>
    <w:rsid w:val="00991829"/>
    <w:rsid w:val="009923E4"/>
    <w:rsid w:val="00992C86"/>
    <w:rsid w:val="0099375C"/>
    <w:rsid w:val="00993864"/>
    <w:rsid w:val="00993FB7"/>
    <w:rsid w:val="009956BB"/>
    <w:rsid w:val="00995774"/>
    <w:rsid w:val="009957CF"/>
    <w:rsid w:val="00995922"/>
    <w:rsid w:val="00995AD4"/>
    <w:rsid w:val="00997A87"/>
    <w:rsid w:val="009A0302"/>
    <w:rsid w:val="009A0BFA"/>
    <w:rsid w:val="009A1A77"/>
    <w:rsid w:val="009A1BC5"/>
    <w:rsid w:val="009A2F1D"/>
    <w:rsid w:val="009A34F0"/>
    <w:rsid w:val="009A36A1"/>
    <w:rsid w:val="009A3BC4"/>
    <w:rsid w:val="009A551C"/>
    <w:rsid w:val="009A5AE8"/>
    <w:rsid w:val="009A67BF"/>
    <w:rsid w:val="009A6A01"/>
    <w:rsid w:val="009B0CCA"/>
    <w:rsid w:val="009B0F0E"/>
    <w:rsid w:val="009B0FA6"/>
    <w:rsid w:val="009B0FAE"/>
    <w:rsid w:val="009B276D"/>
    <w:rsid w:val="009B3082"/>
    <w:rsid w:val="009B372D"/>
    <w:rsid w:val="009B45F3"/>
    <w:rsid w:val="009B4EC3"/>
    <w:rsid w:val="009B79BB"/>
    <w:rsid w:val="009C040B"/>
    <w:rsid w:val="009C0742"/>
    <w:rsid w:val="009C2113"/>
    <w:rsid w:val="009C416F"/>
    <w:rsid w:val="009C4C4C"/>
    <w:rsid w:val="009C5E13"/>
    <w:rsid w:val="009C7077"/>
    <w:rsid w:val="009C73B8"/>
    <w:rsid w:val="009C7671"/>
    <w:rsid w:val="009D0174"/>
    <w:rsid w:val="009D071C"/>
    <w:rsid w:val="009D0BB0"/>
    <w:rsid w:val="009D183B"/>
    <w:rsid w:val="009D1B8D"/>
    <w:rsid w:val="009D1BD8"/>
    <w:rsid w:val="009D2460"/>
    <w:rsid w:val="009D287B"/>
    <w:rsid w:val="009D2D60"/>
    <w:rsid w:val="009D3A69"/>
    <w:rsid w:val="009D3C27"/>
    <w:rsid w:val="009D3D09"/>
    <w:rsid w:val="009D568A"/>
    <w:rsid w:val="009D58B1"/>
    <w:rsid w:val="009D590D"/>
    <w:rsid w:val="009D5B04"/>
    <w:rsid w:val="009D6B84"/>
    <w:rsid w:val="009D7214"/>
    <w:rsid w:val="009D7671"/>
    <w:rsid w:val="009D7CCC"/>
    <w:rsid w:val="009D7FA4"/>
    <w:rsid w:val="009E0350"/>
    <w:rsid w:val="009E04D9"/>
    <w:rsid w:val="009E0953"/>
    <w:rsid w:val="009E1294"/>
    <w:rsid w:val="009E1427"/>
    <w:rsid w:val="009E1553"/>
    <w:rsid w:val="009E177F"/>
    <w:rsid w:val="009E1E94"/>
    <w:rsid w:val="009E2C13"/>
    <w:rsid w:val="009E2E88"/>
    <w:rsid w:val="009E358A"/>
    <w:rsid w:val="009E40C3"/>
    <w:rsid w:val="009E511A"/>
    <w:rsid w:val="009E55BA"/>
    <w:rsid w:val="009E6D29"/>
    <w:rsid w:val="009E75CE"/>
    <w:rsid w:val="009E7A82"/>
    <w:rsid w:val="009F0391"/>
    <w:rsid w:val="009F0EA6"/>
    <w:rsid w:val="009F16C3"/>
    <w:rsid w:val="009F16CE"/>
    <w:rsid w:val="009F3242"/>
    <w:rsid w:val="009F4A7E"/>
    <w:rsid w:val="009F6574"/>
    <w:rsid w:val="009F674A"/>
    <w:rsid w:val="009F6F47"/>
    <w:rsid w:val="009F710E"/>
    <w:rsid w:val="009F737B"/>
    <w:rsid w:val="00A00809"/>
    <w:rsid w:val="00A01298"/>
    <w:rsid w:val="00A01386"/>
    <w:rsid w:val="00A019A3"/>
    <w:rsid w:val="00A01B0D"/>
    <w:rsid w:val="00A02001"/>
    <w:rsid w:val="00A023A5"/>
    <w:rsid w:val="00A03050"/>
    <w:rsid w:val="00A034B2"/>
    <w:rsid w:val="00A04006"/>
    <w:rsid w:val="00A051D4"/>
    <w:rsid w:val="00A05722"/>
    <w:rsid w:val="00A058EB"/>
    <w:rsid w:val="00A06766"/>
    <w:rsid w:val="00A0710F"/>
    <w:rsid w:val="00A07B59"/>
    <w:rsid w:val="00A07FE1"/>
    <w:rsid w:val="00A10554"/>
    <w:rsid w:val="00A10B00"/>
    <w:rsid w:val="00A112E3"/>
    <w:rsid w:val="00A11436"/>
    <w:rsid w:val="00A11DC4"/>
    <w:rsid w:val="00A12072"/>
    <w:rsid w:val="00A1229F"/>
    <w:rsid w:val="00A1265F"/>
    <w:rsid w:val="00A12733"/>
    <w:rsid w:val="00A129F3"/>
    <w:rsid w:val="00A12AA9"/>
    <w:rsid w:val="00A136B7"/>
    <w:rsid w:val="00A13B50"/>
    <w:rsid w:val="00A140C4"/>
    <w:rsid w:val="00A1442E"/>
    <w:rsid w:val="00A146ED"/>
    <w:rsid w:val="00A169CF"/>
    <w:rsid w:val="00A16D34"/>
    <w:rsid w:val="00A17A2E"/>
    <w:rsid w:val="00A200EA"/>
    <w:rsid w:val="00A20DFB"/>
    <w:rsid w:val="00A21113"/>
    <w:rsid w:val="00A216B0"/>
    <w:rsid w:val="00A22094"/>
    <w:rsid w:val="00A22741"/>
    <w:rsid w:val="00A248C3"/>
    <w:rsid w:val="00A26723"/>
    <w:rsid w:val="00A26DF9"/>
    <w:rsid w:val="00A274E7"/>
    <w:rsid w:val="00A27539"/>
    <w:rsid w:val="00A275A4"/>
    <w:rsid w:val="00A277A9"/>
    <w:rsid w:val="00A27CE8"/>
    <w:rsid w:val="00A30D38"/>
    <w:rsid w:val="00A30FD7"/>
    <w:rsid w:val="00A3110E"/>
    <w:rsid w:val="00A317B4"/>
    <w:rsid w:val="00A328CE"/>
    <w:rsid w:val="00A32B9D"/>
    <w:rsid w:val="00A35705"/>
    <w:rsid w:val="00A357C5"/>
    <w:rsid w:val="00A35989"/>
    <w:rsid w:val="00A37C90"/>
    <w:rsid w:val="00A40B10"/>
    <w:rsid w:val="00A421B4"/>
    <w:rsid w:val="00A4238D"/>
    <w:rsid w:val="00A436BB"/>
    <w:rsid w:val="00A439C5"/>
    <w:rsid w:val="00A43B35"/>
    <w:rsid w:val="00A442A5"/>
    <w:rsid w:val="00A44BF0"/>
    <w:rsid w:val="00A45AE6"/>
    <w:rsid w:val="00A460BC"/>
    <w:rsid w:val="00A47793"/>
    <w:rsid w:val="00A50136"/>
    <w:rsid w:val="00A52399"/>
    <w:rsid w:val="00A52E3E"/>
    <w:rsid w:val="00A538C5"/>
    <w:rsid w:val="00A53C42"/>
    <w:rsid w:val="00A54E52"/>
    <w:rsid w:val="00A550D5"/>
    <w:rsid w:val="00A55A35"/>
    <w:rsid w:val="00A561C4"/>
    <w:rsid w:val="00A56499"/>
    <w:rsid w:val="00A56C93"/>
    <w:rsid w:val="00A56FFE"/>
    <w:rsid w:val="00A5700F"/>
    <w:rsid w:val="00A579BE"/>
    <w:rsid w:val="00A57A4E"/>
    <w:rsid w:val="00A60AED"/>
    <w:rsid w:val="00A61A22"/>
    <w:rsid w:val="00A620C7"/>
    <w:rsid w:val="00A62B71"/>
    <w:rsid w:val="00A63DF5"/>
    <w:rsid w:val="00A65895"/>
    <w:rsid w:val="00A66751"/>
    <w:rsid w:val="00A66D6A"/>
    <w:rsid w:val="00A66F7A"/>
    <w:rsid w:val="00A670CF"/>
    <w:rsid w:val="00A67AB2"/>
    <w:rsid w:val="00A70E5F"/>
    <w:rsid w:val="00A7177C"/>
    <w:rsid w:val="00A717BA"/>
    <w:rsid w:val="00A71A73"/>
    <w:rsid w:val="00A71F87"/>
    <w:rsid w:val="00A73030"/>
    <w:rsid w:val="00A730F8"/>
    <w:rsid w:val="00A73F52"/>
    <w:rsid w:val="00A747C4"/>
    <w:rsid w:val="00A74BDF"/>
    <w:rsid w:val="00A7550F"/>
    <w:rsid w:val="00A757DF"/>
    <w:rsid w:val="00A75BCD"/>
    <w:rsid w:val="00A76C12"/>
    <w:rsid w:val="00A77672"/>
    <w:rsid w:val="00A77929"/>
    <w:rsid w:val="00A77C1F"/>
    <w:rsid w:val="00A77E54"/>
    <w:rsid w:val="00A80A36"/>
    <w:rsid w:val="00A81397"/>
    <w:rsid w:val="00A81A2B"/>
    <w:rsid w:val="00A81C5D"/>
    <w:rsid w:val="00A82E19"/>
    <w:rsid w:val="00A834DC"/>
    <w:rsid w:val="00A83A4C"/>
    <w:rsid w:val="00A83ECA"/>
    <w:rsid w:val="00A84E9E"/>
    <w:rsid w:val="00A85CEB"/>
    <w:rsid w:val="00A8625D"/>
    <w:rsid w:val="00A870F8"/>
    <w:rsid w:val="00A87325"/>
    <w:rsid w:val="00A9184B"/>
    <w:rsid w:val="00A9232A"/>
    <w:rsid w:val="00A929B3"/>
    <w:rsid w:val="00A9329F"/>
    <w:rsid w:val="00A93AED"/>
    <w:rsid w:val="00A9491A"/>
    <w:rsid w:val="00A94E4B"/>
    <w:rsid w:val="00A965ED"/>
    <w:rsid w:val="00A97210"/>
    <w:rsid w:val="00AA090C"/>
    <w:rsid w:val="00AA0EF7"/>
    <w:rsid w:val="00AA1756"/>
    <w:rsid w:val="00AA1DAD"/>
    <w:rsid w:val="00AA1FE0"/>
    <w:rsid w:val="00AA218C"/>
    <w:rsid w:val="00AA21B6"/>
    <w:rsid w:val="00AA2A24"/>
    <w:rsid w:val="00AA2C67"/>
    <w:rsid w:val="00AA3C1E"/>
    <w:rsid w:val="00AA443E"/>
    <w:rsid w:val="00AA50CB"/>
    <w:rsid w:val="00AA59B8"/>
    <w:rsid w:val="00AA5E4A"/>
    <w:rsid w:val="00AA6137"/>
    <w:rsid w:val="00AB0664"/>
    <w:rsid w:val="00AB1FCA"/>
    <w:rsid w:val="00AB25F3"/>
    <w:rsid w:val="00AB2CC3"/>
    <w:rsid w:val="00AB4576"/>
    <w:rsid w:val="00AB4EA0"/>
    <w:rsid w:val="00AB5162"/>
    <w:rsid w:val="00AB57A6"/>
    <w:rsid w:val="00AB6163"/>
    <w:rsid w:val="00AB69C5"/>
    <w:rsid w:val="00AB6AEE"/>
    <w:rsid w:val="00AB7310"/>
    <w:rsid w:val="00AB7854"/>
    <w:rsid w:val="00AC0D05"/>
    <w:rsid w:val="00AC0D06"/>
    <w:rsid w:val="00AC1727"/>
    <w:rsid w:val="00AC1886"/>
    <w:rsid w:val="00AC1A6A"/>
    <w:rsid w:val="00AC1B84"/>
    <w:rsid w:val="00AC1C60"/>
    <w:rsid w:val="00AC2414"/>
    <w:rsid w:val="00AC29EC"/>
    <w:rsid w:val="00AC2C67"/>
    <w:rsid w:val="00AC37E1"/>
    <w:rsid w:val="00AC3FCD"/>
    <w:rsid w:val="00AC41E7"/>
    <w:rsid w:val="00AC4486"/>
    <w:rsid w:val="00AC5BB7"/>
    <w:rsid w:val="00AC6008"/>
    <w:rsid w:val="00AC63FF"/>
    <w:rsid w:val="00AC6F91"/>
    <w:rsid w:val="00AC7280"/>
    <w:rsid w:val="00AC7743"/>
    <w:rsid w:val="00AC79BC"/>
    <w:rsid w:val="00AD010B"/>
    <w:rsid w:val="00AD19A5"/>
    <w:rsid w:val="00AD2560"/>
    <w:rsid w:val="00AD3370"/>
    <w:rsid w:val="00AD5C38"/>
    <w:rsid w:val="00AD75D5"/>
    <w:rsid w:val="00AD7C99"/>
    <w:rsid w:val="00AD7EAE"/>
    <w:rsid w:val="00AE0BD8"/>
    <w:rsid w:val="00AE102F"/>
    <w:rsid w:val="00AE18F2"/>
    <w:rsid w:val="00AE1929"/>
    <w:rsid w:val="00AE3B74"/>
    <w:rsid w:val="00AE3C44"/>
    <w:rsid w:val="00AE4B9F"/>
    <w:rsid w:val="00AE4DB2"/>
    <w:rsid w:val="00AE5892"/>
    <w:rsid w:val="00AE60D7"/>
    <w:rsid w:val="00AE7109"/>
    <w:rsid w:val="00AE7658"/>
    <w:rsid w:val="00AE766A"/>
    <w:rsid w:val="00AF047C"/>
    <w:rsid w:val="00AF07E8"/>
    <w:rsid w:val="00AF0FCE"/>
    <w:rsid w:val="00AF1135"/>
    <w:rsid w:val="00AF2391"/>
    <w:rsid w:val="00AF3ACB"/>
    <w:rsid w:val="00AF48F0"/>
    <w:rsid w:val="00AF55EB"/>
    <w:rsid w:val="00AF5B59"/>
    <w:rsid w:val="00AF629D"/>
    <w:rsid w:val="00AF6394"/>
    <w:rsid w:val="00AF67D4"/>
    <w:rsid w:val="00AF69A3"/>
    <w:rsid w:val="00AF7F87"/>
    <w:rsid w:val="00B00217"/>
    <w:rsid w:val="00B00D40"/>
    <w:rsid w:val="00B02335"/>
    <w:rsid w:val="00B02DF8"/>
    <w:rsid w:val="00B03F27"/>
    <w:rsid w:val="00B0478E"/>
    <w:rsid w:val="00B0598F"/>
    <w:rsid w:val="00B05EAF"/>
    <w:rsid w:val="00B065E2"/>
    <w:rsid w:val="00B06670"/>
    <w:rsid w:val="00B07020"/>
    <w:rsid w:val="00B070ED"/>
    <w:rsid w:val="00B11829"/>
    <w:rsid w:val="00B11F9D"/>
    <w:rsid w:val="00B12174"/>
    <w:rsid w:val="00B12D18"/>
    <w:rsid w:val="00B12FA7"/>
    <w:rsid w:val="00B13179"/>
    <w:rsid w:val="00B13B33"/>
    <w:rsid w:val="00B13F70"/>
    <w:rsid w:val="00B141B9"/>
    <w:rsid w:val="00B14E52"/>
    <w:rsid w:val="00B158CF"/>
    <w:rsid w:val="00B15A2B"/>
    <w:rsid w:val="00B16361"/>
    <w:rsid w:val="00B166A9"/>
    <w:rsid w:val="00B1687A"/>
    <w:rsid w:val="00B16F5A"/>
    <w:rsid w:val="00B17722"/>
    <w:rsid w:val="00B20027"/>
    <w:rsid w:val="00B23817"/>
    <w:rsid w:val="00B23DC3"/>
    <w:rsid w:val="00B24232"/>
    <w:rsid w:val="00B24560"/>
    <w:rsid w:val="00B25583"/>
    <w:rsid w:val="00B25998"/>
    <w:rsid w:val="00B26AAE"/>
    <w:rsid w:val="00B26FD0"/>
    <w:rsid w:val="00B273DB"/>
    <w:rsid w:val="00B27BA3"/>
    <w:rsid w:val="00B30ACA"/>
    <w:rsid w:val="00B30E7F"/>
    <w:rsid w:val="00B311D1"/>
    <w:rsid w:val="00B31282"/>
    <w:rsid w:val="00B314B0"/>
    <w:rsid w:val="00B31DEC"/>
    <w:rsid w:val="00B320EF"/>
    <w:rsid w:val="00B33913"/>
    <w:rsid w:val="00B33AF6"/>
    <w:rsid w:val="00B36512"/>
    <w:rsid w:val="00B36E5D"/>
    <w:rsid w:val="00B37439"/>
    <w:rsid w:val="00B37F04"/>
    <w:rsid w:val="00B400B2"/>
    <w:rsid w:val="00B415BB"/>
    <w:rsid w:val="00B41787"/>
    <w:rsid w:val="00B42CCF"/>
    <w:rsid w:val="00B434FF"/>
    <w:rsid w:val="00B44C95"/>
    <w:rsid w:val="00B4554B"/>
    <w:rsid w:val="00B47EC9"/>
    <w:rsid w:val="00B5026E"/>
    <w:rsid w:val="00B510DD"/>
    <w:rsid w:val="00B52BA9"/>
    <w:rsid w:val="00B52BD8"/>
    <w:rsid w:val="00B53874"/>
    <w:rsid w:val="00B53B7F"/>
    <w:rsid w:val="00B53C19"/>
    <w:rsid w:val="00B5533F"/>
    <w:rsid w:val="00B5576A"/>
    <w:rsid w:val="00B560B9"/>
    <w:rsid w:val="00B56706"/>
    <w:rsid w:val="00B56B8E"/>
    <w:rsid w:val="00B57A53"/>
    <w:rsid w:val="00B6191B"/>
    <w:rsid w:val="00B621F2"/>
    <w:rsid w:val="00B6314F"/>
    <w:rsid w:val="00B63A61"/>
    <w:rsid w:val="00B65147"/>
    <w:rsid w:val="00B656A0"/>
    <w:rsid w:val="00B66122"/>
    <w:rsid w:val="00B6667D"/>
    <w:rsid w:val="00B671C8"/>
    <w:rsid w:val="00B67C9B"/>
    <w:rsid w:val="00B70271"/>
    <w:rsid w:val="00B70F73"/>
    <w:rsid w:val="00B71A1D"/>
    <w:rsid w:val="00B7251C"/>
    <w:rsid w:val="00B728E6"/>
    <w:rsid w:val="00B731CD"/>
    <w:rsid w:val="00B73FBD"/>
    <w:rsid w:val="00B741B2"/>
    <w:rsid w:val="00B75BA4"/>
    <w:rsid w:val="00B75E7E"/>
    <w:rsid w:val="00B76916"/>
    <w:rsid w:val="00B76E5B"/>
    <w:rsid w:val="00B7704A"/>
    <w:rsid w:val="00B80929"/>
    <w:rsid w:val="00B8100A"/>
    <w:rsid w:val="00B817D0"/>
    <w:rsid w:val="00B81C01"/>
    <w:rsid w:val="00B822B3"/>
    <w:rsid w:val="00B824DA"/>
    <w:rsid w:val="00B83098"/>
    <w:rsid w:val="00B83C01"/>
    <w:rsid w:val="00B854C6"/>
    <w:rsid w:val="00B8564E"/>
    <w:rsid w:val="00B85AFE"/>
    <w:rsid w:val="00B86012"/>
    <w:rsid w:val="00B86763"/>
    <w:rsid w:val="00B86E7F"/>
    <w:rsid w:val="00B909C7"/>
    <w:rsid w:val="00B90FE3"/>
    <w:rsid w:val="00B92344"/>
    <w:rsid w:val="00B93489"/>
    <w:rsid w:val="00B935C0"/>
    <w:rsid w:val="00B957E7"/>
    <w:rsid w:val="00B95B30"/>
    <w:rsid w:val="00B95D91"/>
    <w:rsid w:val="00B95E3D"/>
    <w:rsid w:val="00B9666E"/>
    <w:rsid w:val="00B96B82"/>
    <w:rsid w:val="00B976C8"/>
    <w:rsid w:val="00B97C68"/>
    <w:rsid w:val="00BA04BF"/>
    <w:rsid w:val="00BA141F"/>
    <w:rsid w:val="00BA29DE"/>
    <w:rsid w:val="00BA2DA8"/>
    <w:rsid w:val="00BA3CFD"/>
    <w:rsid w:val="00BA4C72"/>
    <w:rsid w:val="00BA6EB3"/>
    <w:rsid w:val="00BA70F7"/>
    <w:rsid w:val="00BA71CD"/>
    <w:rsid w:val="00BB00D2"/>
    <w:rsid w:val="00BB0525"/>
    <w:rsid w:val="00BB0803"/>
    <w:rsid w:val="00BB1125"/>
    <w:rsid w:val="00BB1191"/>
    <w:rsid w:val="00BB1A7B"/>
    <w:rsid w:val="00BB27C6"/>
    <w:rsid w:val="00BB29CA"/>
    <w:rsid w:val="00BB2B17"/>
    <w:rsid w:val="00BB2B97"/>
    <w:rsid w:val="00BB34B7"/>
    <w:rsid w:val="00BB4E71"/>
    <w:rsid w:val="00BB664A"/>
    <w:rsid w:val="00BB68FD"/>
    <w:rsid w:val="00BB6C19"/>
    <w:rsid w:val="00BB715A"/>
    <w:rsid w:val="00BB7256"/>
    <w:rsid w:val="00BC10CB"/>
    <w:rsid w:val="00BC33A9"/>
    <w:rsid w:val="00BC33EC"/>
    <w:rsid w:val="00BC3ACA"/>
    <w:rsid w:val="00BC3C08"/>
    <w:rsid w:val="00BC405A"/>
    <w:rsid w:val="00BC4404"/>
    <w:rsid w:val="00BC4F68"/>
    <w:rsid w:val="00BC5562"/>
    <w:rsid w:val="00BC5740"/>
    <w:rsid w:val="00BC5774"/>
    <w:rsid w:val="00BC5F3B"/>
    <w:rsid w:val="00BC6B18"/>
    <w:rsid w:val="00BC6F80"/>
    <w:rsid w:val="00BC712B"/>
    <w:rsid w:val="00BC740F"/>
    <w:rsid w:val="00BC7908"/>
    <w:rsid w:val="00BD0245"/>
    <w:rsid w:val="00BD07B6"/>
    <w:rsid w:val="00BD28FA"/>
    <w:rsid w:val="00BD2C5D"/>
    <w:rsid w:val="00BD342B"/>
    <w:rsid w:val="00BD38B9"/>
    <w:rsid w:val="00BD44A5"/>
    <w:rsid w:val="00BD5160"/>
    <w:rsid w:val="00BD6780"/>
    <w:rsid w:val="00BD6D1A"/>
    <w:rsid w:val="00BD6E31"/>
    <w:rsid w:val="00BD78DB"/>
    <w:rsid w:val="00BE058A"/>
    <w:rsid w:val="00BE0F4C"/>
    <w:rsid w:val="00BE2D15"/>
    <w:rsid w:val="00BE360B"/>
    <w:rsid w:val="00BE38C5"/>
    <w:rsid w:val="00BE3CCF"/>
    <w:rsid w:val="00BE5084"/>
    <w:rsid w:val="00BE55C5"/>
    <w:rsid w:val="00BE5E69"/>
    <w:rsid w:val="00BE5FD3"/>
    <w:rsid w:val="00BE6A85"/>
    <w:rsid w:val="00BE6AE1"/>
    <w:rsid w:val="00BE6D2F"/>
    <w:rsid w:val="00BE6D6B"/>
    <w:rsid w:val="00BE7CA5"/>
    <w:rsid w:val="00BF1394"/>
    <w:rsid w:val="00BF1438"/>
    <w:rsid w:val="00BF1EA3"/>
    <w:rsid w:val="00BF270B"/>
    <w:rsid w:val="00BF2FE0"/>
    <w:rsid w:val="00BF34AE"/>
    <w:rsid w:val="00BF402B"/>
    <w:rsid w:val="00BF5811"/>
    <w:rsid w:val="00BF5B08"/>
    <w:rsid w:val="00BF606D"/>
    <w:rsid w:val="00BF61C5"/>
    <w:rsid w:val="00BF6F17"/>
    <w:rsid w:val="00BF7C8D"/>
    <w:rsid w:val="00C00187"/>
    <w:rsid w:val="00C00B8A"/>
    <w:rsid w:val="00C0128A"/>
    <w:rsid w:val="00C014A4"/>
    <w:rsid w:val="00C02EBA"/>
    <w:rsid w:val="00C02F42"/>
    <w:rsid w:val="00C042BB"/>
    <w:rsid w:val="00C055E1"/>
    <w:rsid w:val="00C06292"/>
    <w:rsid w:val="00C062B6"/>
    <w:rsid w:val="00C0681F"/>
    <w:rsid w:val="00C06B9B"/>
    <w:rsid w:val="00C076C0"/>
    <w:rsid w:val="00C10493"/>
    <w:rsid w:val="00C114C1"/>
    <w:rsid w:val="00C1186B"/>
    <w:rsid w:val="00C124C4"/>
    <w:rsid w:val="00C126B8"/>
    <w:rsid w:val="00C12777"/>
    <w:rsid w:val="00C12988"/>
    <w:rsid w:val="00C12E43"/>
    <w:rsid w:val="00C12EA1"/>
    <w:rsid w:val="00C13803"/>
    <w:rsid w:val="00C138F0"/>
    <w:rsid w:val="00C13C4B"/>
    <w:rsid w:val="00C13D15"/>
    <w:rsid w:val="00C14F72"/>
    <w:rsid w:val="00C15897"/>
    <w:rsid w:val="00C16336"/>
    <w:rsid w:val="00C169AB"/>
    <w:rsid w:val="00C17A5A"/>
    <w:rsid w:val="00C17F1D"/>
    <w:rsid w:val="00C200B7"/>
    <w:rsid w:val="00C20B3C"/>
    <w:rsid w:val="00C20EAD"/>
    <w:rsid w:val="00C2122C"/>
    <w:rsid w:val="00C216D0"/>
    <w:rsid w:val="00C216FC"/>
    <w:rsid w:val="00C21BE2"/>
    <w:rsid w:val="00C22A98"/>
    <w:rsid w:val="00C233AB"/>
    <w:rsid w:val="00C236E3"/>
    <w:rsid w:val="00C23C28"/>
    <w:rsid w:val="00C23EFC"/>
    <w:rsid w:val="00C23F2C"/>
    <w:rsid w:val="00C24930"/>
    <w:rsid w:val="00C25100"/>
    <w:rsid w:val="00C2563B"/>
    <w:rsid w:val="00C2599A"/>
    <w:rsid w:val="00C25CE5"/>
    <w:rsid w:val="00C27FCD"/>
    <w:rsid w:val="00C3035A"/>
    <w:rsid w:val="00C31829"/>
    <w:rsid w:val="00C31C4A"/>
    <w:rsid w:val="00C3250A"/>
    <w:rsid w:val="00C32C8A"/>
    <w:rsid w:val="00C33233"/>
    <w:rsid w:val="00C34452"/>
    <w:rsid w:val="00C347FC"/>
    <w:rsid w:val="00C34DC4"/>
    <w:rsid w:val="00C34F0F"/>
    <w:rsid w:val="00C350B4"/>
    <w:rsid w:val="00C35BD8"/>
    <w:rsid w:val="00C35F9B"/>
    <w:rsid w:val="00C36182"/>
    <w:rsid w:val="00C37996"/>
    <w:rsid w:val="00C402C2"/>
    <w:rsid w:val="00C40902"/>
    <w:rsid w:val="00C4111E"/>
    <w:rsid w:val="00C41574"/>
    <w:rsid w:val="00C41B73"/>
    <w:rsid w:val="00C41D8F"/>
    <w:rsid w:val="00C4342C"/>
    <w:rsid w:val="00C454B4"/>
    <w:rsid w:val="00C455C8"/>
    <w:rsid w:val="00C45960"/>
    <w:rsid w:val="00C45A89"/>
    <w:rsid w:val="00C46010"/>
    <w:rsid w:val="00C46927"/>
    <w:rsid w:val="00C46BF0"/>
    <w:rsid w:val="00C47951"/>
    <w:rsid w:val="00C50669"/>
    <w:rsid w:val="00C51D68"/>
    <w:rsid w:val="00C51F17"/>
    <w:rsid w:val="00C523E8"/>
    <w:rsid w:val="00C52424"/>
    <w:rsid w:val="00C5489A"/>
    <w:rsid w:val="00C54A65"/>
    <w:rsid w:val="00C553E8"/>
    <w:rsid w:val="00C55FBA"/>
    <w:rsid w:val="00C567CE"/>
    <w:rsid w:val="00C569FD"/>
    <w:rsid w:val="00C57910"/>
    <w:rsid w:val="00C57981"/>
    <w:rsid w:val="00C57C26"/>
    <w:rsid w:val="00C60BA4"/>
    <w:rsid w:val="00C6153C"/>
    <w:rsid w:val="00C6192F"/>
    <w:rsid w:val="00C61B7B"/>
    <w:rsid w:val="00C61F41"/>
    <w:rsid w:val="00C62704"/>
    <w:rsid w:val="00C63C47"/>
    <w:rsid w:val="00C6400C"/>
    <w:rsid w:val="00C64731"/>
    <w:rsid w:val="00C64B25"/>
    <w:rsid w:val="00C651EA"/>
    <w:rsid w:val="00C668AA"/>
    <w:rsid w:val="00C66908"/>
    <w:rsid w:val="00C67327"/>
    <w:rsid w:val="00C67472"/>
    <w:rsid w:val="00C67683"/>
    <w:rsid w:val="00C70032"/>
    <w:rsid w:val="00C712C0"/>
    <w:rsid w:val="00C720E9"/>
    <w:rsid w:val="00C73574"/>
    <w:rsid w:val="00C741EA"/>
    <w:rsid w:val="00C74209"/>
    <w:rsid w:val="00C7458E"/>
    <w:rsid w:val="00C746AF"/>
    <w:rsid w:val="00C7508D"/>
    <w:rsid w:val="00C751F0"/>
    <w:rsid w:val="00C75337"/>
    <w:rsid w:val="00C755D1"/>
    <w:rsid w:val="00C76221"/>
    <w:rsid w:val="00C76CCA"/>
    <w:rsid w:val="00C777D7"/>
    <w:rsid w:val="00C814D5"/>
    <w:rsid w:val="00C81592"/>
    <w:rsid w:val="00C81E41"/>
    <w:rsid w:val="00C82575"/>
    <w:rsid w:val="00C82721"/>
    <w:rsid w:val="00C83A5D"/>
    <w:rsid w:val="00C83C4A"/>
    <w:rsid w:val="00C84119"/>
    <w:rsid w:val="00C84817"/>
    <w:rsid w:val="00C84D9D"/>
    <w:rsid w:val="00C854E6"/>
    <w:rsid w:val="00C867FA"/>
    <w:rsid w:val="00C87455"/>
    <w:rsid w:val="00C905FF"/>
    <w:rsid w:val="00C9154E"/>
    <w:rsid w:val="00C92A27"/>
    <w:rsid w:val="00C92B07"/>
    <w:rsid w:val="00C92CC4"/>
    <w:rsid w:val="00C945DE"/>
    <w:rsid w:val="00C94D30"/>
    <w:rsid w:val="00C94D79"/>
    <w:rsid w:val="00C952DD"/>
    <w:rsid w:val="00C9658B"/>
    <w:rsid w:val="00C978EF"/>
    <w:rsid w:val="00CA0392"/>
    <w:rsid w:val="00CA0EEF"/>
    <w:rsid w:val="00CA16B5"/>
    <w:rsid w:val="00CA19C0"/>
    <w:rsid w:val="00CA1CBA"/>
    <w:rsid w:val="00CA22DC"/>
    <w:rsid w:val="00CA578B"/>
    <w:rsid w:val="00CA5B11"/>
    <w:rsid w:val="00CA6558"/>
    <w:rsid w:val="00CA6F84"/>
    <w:rsid w:val="00CA74EE"/>
    <w:rsid w:val="00CA7618"/>
    <w:rsid w:val="00CA7D19"/>
    <w:rsid w:val="00CA7FB5"/>
    <w:rsid w:val="00CB10AA"/>
    <w:rsid w:val="00CB27D9"/>
    <w:rsid w:val="00CB2C33"/>
    <w:rsid w:val="00CB2E6A"/>
    <w:rsid w:val="00CB329F"/>
    <w:rsid w:val="00CB34E2"/>
    <w:rsid w:val="00CB3FB5"/>
    <w:rsid w:val="00CB4B35"/>
    <w:rsid w:val="00CB4EAA"/>
    <w:rsid w:val="00CB4FB2"/>
    <w:rsid w:val="00CB57BB"/>
    <w:rsid w:val="00CB58EF"/>
    <w:rsid w:val="00CB5E7C"/>
    <w:rsid w:val="00CB64FD"/>
    <w:rsid w:val="00CB6F0C"/>
    <w:rsid w:val="00CB7204"/>
    <w:rsid w:val="00CB7542"/>
    <w:rsid w:val="00CB760D"/>
    <w:rsid w:val="00CB78F6"/>
    <w:rsid w:val="00CB790A"/>
    <w:rsid w:val="00CC0179"/>
    <w:rsid w:val="00CC0B7B"/>
    <w:rsid w:val="00CC0F39"/>
    <w:rsid w:val="00CC15D6"/>
    <w:rsid w:val="00CC1D85"/>
    <w:rsid w:val="00CC2C6A"/>
    <w:rsid w:val="00CC2DD3"/>
    <w:rsid w:val="00CC3144"/>
    <w:rsid w:val="00CC37AA"/>
    <w:rsid w:val="00CC39DA"/>
    <w:rsid w:val="00CC3D36"/>
    <w:rsid w:val="00CC5142"/>
    <w:rsid w:val="00CC7700"/>
    <w:rsid w:val="00CC7B26"/>
    <w:rsid w:val="00CC7E15"/>
    <w:rsid w:val="00CC7E5D"/>
    <w:rsid w:val="00CD05D8"/>
    <w:rsid w:val="00CD2013"/>
    <w:rsid w:val="00CD25D0"/>
    <w:rsid w:val="00CD2EBC"/>
    <w:rsid w:val="00CD3719"/>
    <w:rsid w:val="00CD3DD3"/>
    <w:rsid w:val="00CD4B84"/>
    <w:rsid w:val="00CD4CCF"/>
    <w:rsid w:val="00CD5143"/>
    <w:rsid w:val="00CD589D"/>
    <w:rsid w:val="00CD5CC8"/>
    <w:rsid w:val="00CD66E0"/>
    <w:rsid w:val="00CD6ADB"/>
    <w:rsid w:val="00CD7E3E"/>
    <w:rsid w:val="00CD7EF6"/>
    <w:rsid w:val="00CE0016"/>
    <w:rsid w:val="00CE20B3"/>
    <w:rsid w:val="00CE2459"/>
    <w:rsid w:val="00CE2B76"/>
    <w:rsid w:val="00CE4A61"/>
    <w:rsid w:val="00CE5643"/>
    <w:rsid w:val="00CF04BB"/>
    <w:rsid w:val="00CF10F8"/>
    <w:rsid w:val="00CF1246"/>
    <w:rsid w:val="00CF15C1"/>
    <w:rsid w:val="00CF1805"/>
    <w:rsid w:val="00CF1E6B"/>
    <w:rsid w:val="00CF241C"/>
    <w:rsid w:val="00CF2A58"/>
    <w:rsid w:val="00CF2A64"/>
    <w:rsid w:val="00CF44BE"/>
    <w:rsid w:val="00CF4706"/>
    <w:rsid w:val="00CF4E73"/>
    <w:rsid w:val="00CF5051"/>
    <w:rsid w:val="00CF5B3C"/>
    <w:rsid w:val="00CF69AE"/>
    <w:rsid w:val="00CF7622"/>
    <w:rsid w:val="00CF7A60"/>
    <w:rsid w:val="00D007F3"/>
    <w:rsid w:val="00D00B1E"/>
    <w:rsid w:val="00D019F8"/>
    <w:rsid w:val="00D0201C"/>
    <w:rsid w:val="00D025E5"/>
    <w:rsid w:val="00D038C5"/>
    <w:rsid w:val="00D03F7F"/>
    <w:rsid w:val="00D040F1"/>
    <w:rsid w:val="00D041C3"/>
    <w:rsid w:val="00D044EB"/>
    <w:rsid w:val="00D045C1"/>
    <w:rsid w:val="00D04FE0"/>
    <w:rsid w:val="00D06A1C"/>
    <w:rsid w:val="00D07B30"/>
    <w:rsid w:val="00D10510"/>
    <w:rsid w:val="00D10C03"/>
    <w:rsid w:val="00D10EDC"/>
    <w:rsid w:val="00D118E1"/>
    <w:rsid w:val="00D11EDD"/>
    <w:rsid w:val="00D123A3"/>
    <w:rsid w:val="00D12F76"/>
    <w:rsid w:val="00D141F9"/>
    <w:rsid w:val="00D143D4"/>
    <w:rsid w:val="00D1614B"/>
    <w:rsid w:val="00D1661A"/>
    <w:rsid w:val="00D167C0"/>
    <w:rsid w:val="00D16980"/>
    <w:rsid w:val="00D16C2B"/>
    <w:rsid w:val="00D16D28"/>
    <w:rsid w:val="00D17452"/>
    <w:rsid w:val="00D208E2"/>
    <w:rsid w:val="00D20FB9"/>
    <w:rsid w:val="00D223D1"/>
    <w:rsid w:val="00D22E3A"/>
    <w:rsid w:val="00D23724"/>
    <w:rsid w:val="00D23748"/>
    <w:rsid w:val="00D23B50"/>
    <w:rsid w:val="00D2427F"/>
    <w:rsid w:val="00D243AB"/>
    <w:rsid w:val="00D24E2D"/>
    <w:rsid w:val="00D25324"/>
    <w:rsid w:val="00D25DE9"/>
    <w:rsid w:val="00D25F3F"/>
    <w:rsid w:val="00D27D0E"/>
    <w:rsid w:val="00D301FF"/>
    <w:rsid w:val="00D307CF"/>
    <w:rsid w:val="00D308AF"/>
    <w:rsid w:val="00D31199"/>
    <w:rsid w:val="00D32442"/>
    <w:rsid w:val="00D36ADA"/>
    <w:rsid w:val="00D36DA6"/>
    <w:rsid w:val="00D37AE6"/>
    <w:rsid w:val="00D40667"/>
    <w:rsid w:val="00D40F85"/>
    <w:rsid w:val="00D4111B"/>
    <w:rsid w:val="00D41EF2"/>
    <w:rsid w:val="00D42816"/>
    <w:rsid w:val="00D42DDD"/>
    <w:rsid w:val="00D44EE7"/>
    <w:rsid w:val="00D45516"/>
    <w:rsid w:val="00D45C14"/>
    <w:rsid w:val="00D464B4"/>
    <w:rsid w:val="00D468FB"/>
    <w:rsid w:val="00D469B3"/>
    <w:rsid w:val="00D4789D"/>
    <w:rsid w:val="00D47964"/>
    <w:rsid w:val="00D47E99"/>
    <w:rsid w:val="00D509C3"/>
    <w:rsid w:val="00D50FFF"/>
    <w:rsid w:val="00D51949"/>
    <w:rsid w:val="00D51D05"/>
    <w:rsid w:val="00D51F51"/>
    <w:rsid w:val="00D5252C"/>
    <w:rsid w:val="00D532D7"/>
    <w:rsid w:val="00D536E2"/>
    <w:rsid w:val="00D5444C"/>
    <w:rsid w:val="00D55008"/>
    <w:rsid w:val="00D56585"/>
    <w:rsid w:val="00D57515"/>
    <w:rsid w:val="00D57BDA"/>
    <w:rsid w:val="00D57DB2"/>
    <w:rsid w:val="00D61962"/>
    <w:rsid w:val="00D61DDF"/>
    <w:rsid w:val="00D62096"/>
    <w:rsid w:val="00D624D4"/>
    <w:rsid w:val="00D6297E"/>
    <w:rsid w:val="00D63280"/>
    <w:rsid w:val="00D63B48"/>
    <w:rsid w:val="00D64067"/>
    <w:rsid w:val="00D641F6"/>
    <w:rsid w:val="00D6432E"/>
    <w:rsid w:val="00D6578C"/>
    <w:rsid w:val="00D65AAF"/>
    <w:rsid w:val="00D65B17"/>
    <w:rsid w:val="00D66CDD"/>
    <w:rsid w:val="00D66FF0"/>
    <w:rsid w:val="00D67369"/>
    <w:rsid w:val="00D67414"/>
    <w:rsid w:val="00D701C2"/>
    <w:rsid w:val="00D704AA"/>
    <w:rsid w:val="00D706AF"/>
    <w:rsid w:val="00D708B2"/>
    <w:rsid w:val="00D71030"/>
    <w:rsid w:val="00D71079"/>
    <w:rsid w:val="00D7164A"/>
    <w:rsid w:val="00D7190B"/>
    <w:rsid w:val="00D71B5D"/>
    <w:rsid w:val="00D71EBC"/>
    <w:rsid w:val="00D72B69"/>
    <w:rsid w:val="00D73350"/>
    <w:rsid w:val="00D73651"/>
    <w:rsid w:val="00D739D7"/>
    <w:rsid w:val="00D73A38"/>
    <w:rsid w:val="00D73E8C"/>
    <w:rsid w:val="00D74BFD"/>
    <w:rsid w:val="00D75FC8"/>
    <w:rsid w:val="00D7672D"/>
    <w:rsid w:val="00D773E0"/>
    <w:rsid w:val="00D820E2"/>
    <w:rsid w:val="00D8237D"/>
    <w:rsid w:val="00D8315D"/>
    <w:rsid w:val="00D83DD4"/>
    <w:rsid w:val="00D848F3"/>
    <w:rsid w:val="00D8533D"/>
    <w:rsid w:val="00D8640C"/>
    <w:rsid w:val="00D86BB2"/>
    <w:rsid w:val="00D90053"/>
    <w:rsid w:val="00D903E5"/>
    <w:rsid w:val="00D90C72"/>
    <w:rsid w:val="00D90D68"/>
    <w:rsid w:val="00D913CD"/>
    <w:rsid w:val="00D913ED"/>
    <w:rsid w:val="00D91C37"/>
    <w:rsid w:val="00D9289B"/>
    <w:rsid w:val="00D94668"/>
    <w:rsid w:val="00D96292"/>
    <w:rsid w:val="00D97BE8"/>
    <w:rsid w:val="00DA0EAB"/>
    <w:rsid w:val="00DA1BF5"/>
    <w:rsid w:val="00DA2726"/>
    <w:rsid w:val="00DA2C4D"/>
    <w:rsid w:val="00DA2EB9"/>
    <w:rsid w:val="00DA2ECB"/>
    <w:rsid w:val="00DA445A"/>
    <w:rsid w:val="00DA54AD"/>
    <w:rsid w:val="00DA5CDF"/>
    <w:rsid w:val="00DA6BAF"/>
    <w:rsid w:val="00DA7C53"/>
    <w:rsid w:val="00DB0396"/>
    <w:rsid w:val="00DB0744"/>
    <w:rsid w:val="00DB0FB8"/>
    <w:rsid w:val="00DB1C87"/>
    <w:rsid w:val="00DB216B"/>
    <w:rsid w:val="00DB2930"/>
    <w:rsid w:val="00DB2A8A"/>
    <w:rsid w:val="00DB3498"/>
    <w:rsid w:val="00DB39BD"/>
    <w:rsid w:val="00DB42AF"/>
    <w:rsid w:val="00DB4664"/>
    <w:rsid w:val="00DB545E"/>
    <w:rsid w:val="00DB583E"/>
    <w:rsid w:val="00DB6A4C"/>
    <w:rsid w:val="00DB789C"/>
    <w:rsid w:val="00DC0168"/>
    <w:rsid w:val="00DC0270"/>
    <w:rsid w:val="00DC0F8F"/>
    <w:rsid w:val="00DC135C"/>
    <w:rsid w:val="00DC1F60"/>
    <w:rsid w:val="00DC2EB8"/>
    <w:rsid w:val="00DC396C"/>
    <w:rsid w:val="00DC4605"/>
    <w:rsid w:val="00DC5E53"/>
    <w:rsid w:val="00DC6B33"/>
    <w:rsid w:val="00DD02CA"/>
    <w:rsid w:val="00DD129F"/>
    <w:rsid w:val="00DD1DEA"/>
    <w:rsid w:val="00DD2CCC"/>
    <w:rsid w:val="00DD346C"/>
    <w:rsid w:val="00DD36B1"/>
    <w:rsid w:val="00DD3928"/>
    <w:rsid w:val="00DD3BDC"/>
    <w:rsid w:val="00DD3D22"/>
    <w:rsid w:val="00DD3F72"/>
    <w:rsid w:val="00DD4105"/>
    <w:rsid w:val="00DD5E4F"/>
    <w:rsid w:val="00DD63C5"/>
    <w:rsid w:val="00DD684A"/>
    <w:rsid w:val="00DD6866"/>
    <w:rsid w:val="00DE01BB"/>
    <w:rsid w:val="00DE100E"/>
    <w:rsid w:val="00DE120A"/>
    <w:rsid w:val="00DE1E9D"/>
    <w:rsid w:val="00DE3A12"/>
    <w:rsid w:val="00DE5F1F"/>
    <w:rsid w:val="00DE61E5"/>
    <w:rsid w:val="00DE642F"/>
    <w:rsid w:val="00DE64E7"/>
    <w:rsid w:val="00DE7415"/>
    <w:rsid w:val="00DE7605"/>
    <w:rsid w:val="00DF02D9"/>
    <w:rsid w:val="00DF0EAC"/>
    <w:rsid w:val="00DF24D9"/>
    <w:rsid w:val="00DF27E2"/>
    <w:rsid w:val="00DF2D42"/>
    <w:rsid w:val="00DF30EB"/>
    <w:rsid w:val="00DF3447"/>
    <w:rsid w:val="00DF4468"/>
    <w:rsid w:val="00DF4EF2"/>
    <w:rsid w:val="00DF5392"/>
    <w:rsid w:val="00DF54CA"/>
    <w:rsid w:val="00E000B8"/>
    <w:rsid w:val="00E003C0"/>
    <w:rsid w:val="00E018EF"/>
    <w:rsid w:val="00E01A27"/>
    <w:rsid w:val="00E01F5F"/>
    <w:rsid w:val="00E0259A"/>
    <w:rsid w:val="00E030A3"/>
    <w:rsid w:val="00E04F33"/>
    <w:rsid w:val="00E054C6"/>
    <w:rsid w:val="00E05774"/>
    <w:rsid w:val="00E05AFA"/>
    <w:rsid w:val="00E05C99"/>
    <w:rsid w:val="00E064E3"/>
    <w:rsid w:val="00E06DAA"/>
    <w:rsid w:val="00E075F2"/>
    <w:rsid w:val="00E0766A"/>
    <w:rsid w:val="00E105C4"/>
    <w:rsid w:val="00E1307A"/>
    <w:rsid w:val="00E135BD"/>
    <w:rsid w:val="00E13D5A"/>
    <w:rsid w:val="00E13EE0"/>
    <w:rsid w:val="00E13F48"/>
    <w:rsid w:val="00E1421C"/>
    <w:rsid w:val="00E14D1D"/>
    <w:rsid w:val="00E15416"/>
    <w:rsid w:val="00E156EF"/>
    <w:rsid w:val="00E15DEF"/>
    <w:rsid w:val="00E1606A"/>
    <w:rsid w:val="00E162EB"/>
    <w:rsid w:val="00E1630F"/>
    <w:rsid w:val="00E1652C"/>
    <w:rsid w:val="00E17FB4"/>
    <w:rsid w:val="00E206BE"/>
    <w:rsid w:val="00E20A77"/>
    <w:rsid w:val="00E234D8"/>
    <w:rsid w:val="00E2366D"/>
    <w:rsid w:val="00E2376C"/>
    <w:rsid w:val="00E2382D"/>
    <w:rsid w:val="00E24532"/>
    <w:rsid w:val="00E24585"/>
    <w:rsid w:val="00E2466B"/>
    <w:rsid w:val="00E2500E"/>
    <w:rsid w:val="00E25A94"/>
    <w:rsid w:val="00E27ABE"/>
    <w:rsid w:val="00E30449"/>
    <w:rsid w:val="00E31186"/>
    <w:rsid w:val="00E3193A"/>
    <w:rsid w:val="00E32970"/>
    <w:rsid w:val="00E33C55"/>
    <w:rsid w:val="00E34861"/>
    <w:rsid w:val="00E3491D"/>
    <w:rsid w:val="00E34D66"/>
    <w:rsid w:val="00E355ED"/>
    <w:rsid w:val="00E357F7"/>
    <w:rsid w:val="00E35813"/>
    <w:rsid w:val="00E35A80"/>
    <w:rsid w:val="00E35B1C"/>
    <w:rsid w:val="00E35E69"/>
    <w:rsid w:val="00E36648"/>
    <w:rsid w:val="00E366E0"/>
    <w:rsid w:val="00E402BE"/>
    <w:rsid w:val="00E40489"/>
    <w:rsid w:val="00E40B80"/>
    <w:rsid w:val="00E40F90"/>
    <w:rsid w:val="00E4251A"/>
    <w:rsid w:val="00E42FD1"/>
    <w:rsid w:val="00E431A9"/>
    <w:rsid w:val="00E43332"/>
    <w:rsid w:val="00E45439"/>
    <w:rsid w:val="00E4682A"/>
    <w:rsid w:val="00E468F8"/>
    <w:rsid w:val="00E4748C"/>
    <w:rsid w:val="00E4780E"/>
    <w:rsid w:val="00E47CE1"/>
    <w:rsid w:val="00E5038F"/>
    <w:rsid w:val="00E50B6F"/>
    <w:rsid w:val="00E51A52"/>
    <w:rsid w:val="00E530DF"/>
    <w:rsid w:val="00E54689"/>
    <w:rsid w:val="00E55279"/>
    <w:rsid w:val="00E558A8"/>
    <w:rsid w:val="00E55A51"/>
    <w:rsid w:val="00E5649D"/>
    <w:rsid w:val="00E569B2"/>
    <w:rsid w:val="00E572BC"/>
    <w:rsid w:val="00E606A4"/>
    <w:rsid w:val="00E6182D"/>
    <w:rsid w:val="00E61B07"/>
    <w:rsid w:val="00E623AA"/>
    <w:rsid w:val="00E63E9D"/>
    <w:rsid w:val="00E647FD"/>
    <w:rsid w:val="00E658F3"/>
    <w:rsid w:val="00E65F01"/>
    <w:rsid w:val="00E65F82"/>
    <w:rsid w:val="00E66414"/>
    <w:rsid w:val="00E66D48"/>
    <w:rsid w:val="00E66F83"/>
    <w:rsid w:val="00E67553"/>
    <w:rsid w:val="00E67949"/>
    <w:rsid w:val="00E72091"/>
    <w:rsid w:val="00E72105"/>
    <w:rsid w:val="00E72784"/>
    <w:rsid w:val="00E72F5A"/>
    <w:rsid w:val="00E734C5"/>
    <w:rsid w:val="00E73A5B"/>
    <w:rsid w:val="00E73DC5"/>
    <w:rsid w:val="00E73E83"/>
    <w:rsid w:val="00E749AC"/>
    <w:rsid w:val="00E74CAD"/>
    <w:rsid w:val="00E767FC"/>
    <w:rsid w:val="00E76A50"/>
    <w:rsid w:val="00E76EC8"/>
    <w:rsid w:val="00E776AB"/>
    <w:rsid w:val="00E7789C"/>
    <w:rsid w:val="00E77C15"/>
    <w:rsid w:val="00E80CED"/>
    <w:rsid w:val="00E8115A"/>
    <w:rsid w:val="00E81944"/>
    <w:rsid w:val="00E82071"/>
    <w:rsid w:val="00E82097"/>
    <w:rsid w:val="00E83192"/>
    <w:rsid w:val="00E84072"/>
    <w:rsid w:val="00E8412E"/>
    <w:rsid w:val="00E8415B"/>
    <w:rsid w:val="00E84416"/>
    <w:rsid w:val="00E84917"/>
    <w:rsid w:val="00E853F4"/>
    <w:rsid w:val="00E87B99"/>
    <w:rsid w:val="00E87E46"/>
    <w:rsid w:val="00E900E7"/>
    <w:rsid w:val="00E90209"/>
    <w:rsid w:val="00E90D0F"/>
    <w:rsid w:val="00E93344"/>
    <w:rsid w:val="00E93C22"/>
    <w:rsid w:val="00E946C4"/>
    <w:rsid w:val="00E9488B"/>
    <w:rsid w:val="00E94F2A"/>
    <w:rsid w:val="00E9506C"/>
    <w:rsid w:val="00E96326"/>
    <w:rsid w:val="00E973EC"/>
    <w:rsid w:val="00E976A6"/>
    <w:rsid w:val="00EA0DDE"/>
    <w:rsid w:val="00EA25A6"/>
    <w:rsid w:val="00EA38B5"/>
    <w:rsid w:val="00EA4FA3"/>
    <w:rsid w:val="00EA519B"/>
    <w:rsid w:val="00EA6AAB"/>
    <w:rsid w:val="00EA705C"/>
    <w:rsid w:val="00EA74A1"/>
    <w:rsid w:val="00EA798E"/>
    <w:rsid w:val="00EB0EA7"/>
    <w:rsid w:val="00EB1062"/>
    <w:rsid w:val="00EB1A11"/>
    <w:rsid w:val="00EB1AF5"/>
    <w:rsid w:val="00EB1CF1"/>
    <w:rsid w:val="00EB1FB9"/>
    <w:rsid w:val="00EB332F"/>
    <w:rsid w:val="00EB3CD8"/>
    <w:rsid w:val="00EB3DD2"/>
    <w:rsid w:val="00EB3F81"/>
    <w:rsid w:val="00EB41CF"/>
    <w:rsid w:val="00EB41DB"/>
    <w:rsid w:val="00EB4CBC"/>
    <w:rsid w:val="00EB509A"/>
    <w:rsid w:val="00EB54B3"/>
    <w:rsid w:val="00EB54D7"/>
    <w:rsid w:val="00EB5746"/>
    <w:rsid w:val="00EB5F86"/>
    <w:rsid w:val="00EB73C2"/>
    <w:rsid w:val="00EB75CB"/>
    <w:rsid w:val="00EC02EF"/>
    <w:rsid w:val="00EC0591"/>
    <w:rsid w:val="00EC1547"/>
    <w:rsid w:val="00EC1A21"/>
    <w:rsid w:val="00EC1BAD"/>
    <w:rsid w:val="00EC355F"/>
    <w:rsid w:val="00EC436D"/>
    <w:rsid w:val="00EC464C"/>
    <w:rsid w:val="00EC4D4D"/>
    <w:rsid w:val="00EC4E79"/>
    <w:rsid w:val="00EC568F"/>
    <w:rsid w:val="00EC57E1"/>
    <w:rsid w:val="00EC581C"/>
    <w:rsid w:val="00EC5DF5"/>
    <w:rsid w:val="00EC620E"/>
    <w:rsid w:val="00EC65EC"/>
    <w:rsid w:val="00EC7344"/>
    <w:rsid w:val="00EC7A0E"/>
    <w:rsid w:val="00ED0042"/>
    <w:rsid w:val="00ED0628"/>
    <w:rsid w:val="00ED0B3D"/>
    <w:rsid w:val="00ED0CC3"/>
    <w:rsid w:val="00ED10BB"/>
    <w:rsid w:val="00ED2425"/>
    <w:rsid w:val="00ED2825"/>
    <w:rsid w:val="00ED295B"/>
    <w:rsid w:val="00ED2D26"/>
    <w:rsid w:val="00ED32D0"/>
    <w:rsid w:val="00ED4C38"/>
    <w:rsid w:val="00ED555B"/>
    <w:rsid w:val="00ED5752"/>
    <w:rsid w:val="00ED6445"/>
    <w:rsid w:val="00ED6A59"/>
    <w:rsid w:val="00ED728B"/>
    <w:rsid w:val="00ED7375"/>
    <w:rsid w:val="00ED7FB8"/>
    <w:rsid w:val="00EE0DA5"/>
    <w:rsid w:val="00EE0ED8"/>
    <w:rsid w:val="00EE102B"/>
    <w:rsid w:val="00EE1084"/>
    <w:rsid w:val="00EE143D"/>
    <w:rsid w:val="00EE2102"/>
    <w:rsid w:val="00EE2343"/>
    <w:rsid w:val="00EE2641"/>
    <w:rsid w:val="00EE2649"/>
    <w:rsid w:val="00EE2695"/>
    <w:rsid w:val="00EE26F0"/>
    <w:rsid w:val="00EE2813"/>
    <w:rsid w:val="00EE28D6"/>
    <w:rsid w:val="00EE3C68"/>
    <w:rsid w:val="00EE3CCA"/>
    <w:rsid w:val="00EE4070"/>
    <w:rsid w:val="00EE450B"/>
    <w:rsid w:val="00EE5185"/>
    <w:rsid w:val="00EE613F"/>
    <w:rsid w:val="00EF0399"/>
    <w:rsid w:val="00EF1AC2"/>
    <w:rsid w:val="00EF26FA"/>
    <w:rsid w:val="00EF2766"/>
    <w:rsid w:val="00EF2ABA"/>
    <w:rsid w:val="00EF2AD4"/>
    <w:rsid w:val="00EF30B7"/>
    <w:rsid w:val="00EF39F7"/>
    <w:rsid w:val="00EF39FB"/>
    <w:rsid w:val="00EF3FEB"/>
    <w:rsid w:val="00EF48AF"/>
    <w:rsid w:val="00EF4AB1"/>
    <w:rsid w:val="00EF4AE7"/>
    <w:rsid w:val="00EF4B4F"/>
    <w:rsid w:val="00EF4F98"/>
    <w:rsid w:val="00EF5389"/>
    <w:rsid w:val="00EF5849"/>
    <w:rsid w:val="00EF5AAF"/>
    <w:rsid w:val="00EF7EFF"/>
    <w:rsid w:val="00EF7F20"/>
    <w:rsid w:val="00EF7FE6"/>
    <w:rsid w:val="00F009C6"/>
    <w:rsid w:val="00F01183"/>
    <w:rsid w:val="00F0136E"/>
    <w:rsid w:val="00F01419"/>
    <w:rsid w:val="00F05350"/>
    <w:rsid w:val="00F060C0"/>
    <w:rsid w:val="00F065A9"/>
    <w:rsid w:val="00F073BA"/>
    <w:rsid w:val="00F10353"/>
    <w:rsid w:val="00F1113F"/>
    <w:rsid w:val="00F11221"/>
    <w:rsid w:val="00F134C0"/>
    <w:rsid w:val="00F134C8"/>
    <w:rsid w:val="00F13BB3"/>
    <w:rsid w:val="00F14902"/>
    <w:rsid w:val="00F157E0"/>
    <w:rsid w:val="00F159E7"/>
    <w:rsid w:val="00F15F87"/>
    <w:rsid w:val="00F16657"/>
    <w:rsid w:val="00F16EFD"/>
    <w:rsid w:val="00F17604"/>
    <w:rsid w:val="00F17A67"/>
    <w:rsid w:val="00F17D96"/>
    <w:rsid w:val="00F201C3"/>
    <w:rsid w:val="00F21028"/>
    <w:rsid w:val="00F21790"/>
    <w:rsid w:val="00F220CD"/>
    <w:rsid w:val="00F24131"/>
    <w:rsid w:val="00F2434D"/>
    <w:rsid w:val="00F2474F"/>
    <w:rsid w:val="00F24CA9"/>
    <w:rsid w:val="00F24F8C"/>
    <w:rsid w:val="00F255CD"/>
    <w:rsid w:val="00F25FCE"/>
    <w:rsid w:val="00F267A4"/>
    <w:rsid w:val="00F269F2"/>
    <w:rsid w:val="00F271EB"/>
    <w:rsid w:val="00F275A4"/>
    <w:rsid w:val="00F27F3C"/>
    <w:rsid w:val="00F307D8"/>
    <w:rsid w:val="00F31A1D"/>
    <w:rsid w:val="00F322AB"/>
    <w:rsid w:val="00F336E0"/>
    <w:rsid w:val="00F33E86"/>
    <w:rsid w:val="00F3424D"/>
    <w:rsid w:val="00F350E2"/>
    <w:rsid w:val="00F35AC7"/>
    <w:rsid w:val="00F3674A"/>
    <w:rsid w:val="00F368DC"/>
    <w:rsid w:val="00F372F0"/>
    <w:rsid w:val="00F373EF"/>
    <w:rsid w:val="00F37BCE"/>
    <w:rsid w:val="00F40FEB"/>
    <w:rsid w:val="00F413EB"/>
    <w:rsid w:val="00F41996"/>
    <w:rsid w:val="00F42683"/>
    <w:rsid w:val="00F42802"/>
    <w:rsid w:val="00F428E1"/>
    <w:rsid w:val="00F42E9C"/>
    <w:rsid w:val="00F433FA"/>
    <w:rsid w:val="00F43457"/>
    <w:rsid w:val="00F4355D"/>
    <w:rsid w:val="00F43B99"/>
    <w:rsid w:val="00F45FE2"/>
    <w:rsid w:val="00F46803"/>
    <w:rsid w:val="00F500F8"/>
    <w:rsid w:val="00F5045D"/>
    <w:rsid w:val="00F53526"/>
    <w:rsid w:val="00F5362D"/>
    <w:rsid w:val="00F54263"/>
    <w:rsid w:val="00F542FE"/>
    <w:rsid w:val="00F54F46"/>
    <w:rsid w:val="00F55115"/>
    <w:rsid w:val="00F55245"/>
    <w:rsid w:val="00F5589A"/>
    <w:rsid w:val="00F56841"/>
    <w:rsid w:val="00F57C25"/>
    <w:rsid w:val="00F60B45"/>
    <w:rsid w:val="00F624DE"/>
    <w:rsid w:val="00F6368E"/>
    <w:rsid w:val="00F652D1"/>
    <w:rsid w:val="00F65B19"/>
    <w:rsid w:val="00F6644B"/>
    <w:rsid w:val="00F669E5"/>
    <w:rsid w:val="00F6710A"/>
    <w:rsid w:val="00F671E5"/>
    <w:rsid w:val="00F67413"/>
    <w:rsid w:val="00F676DE"/>
    <w:rsid w:val="00F67C56"/>
    <w:rsid w:val="00F7069E"/>
    <w:rsid w:val="00F71477"/>
    <w:rsid w:val="00F7181B"/>
    <w:rsid w:val="00F71D13"/>
    <w:rsid w:val="00F72285"/>
    <w:rsid w:val="00F731C4"/>
    <w:rsid w:val="00F735A4"/>
    <w:rsid w:val="00F73756"/>
    <w:rsid w:val="00F73CC7"/>
    <w:rsid w:val="00F73CEB"/>
    <w:rsid w:val="00F74130"/>
    <w:rsid w:val="00F75254"/>
    <w:rsid w:val="00F75A62"/>
    <w:rsid w:val="00F763D4"/>
    <w:rsid w:val="00F76D18"/>
    <w:rsid w:val="00F77661"/>
    <w:rsid w:val="00F776BF"/>
    <w:rsid w:val="00F8050B"/>
    <w:rsid w:val="00F80DA3"/>
    <w:rsid w:val="00F8107E"/>
    <w:rsid w:val="00F816D4"/>
    <w:rsid w:val="00F819E4"/>
    <w:rsid w:val="00F82BEB"/>
    <w:rsid w:val="00F82C82"/>
    <w:rsid w:val="00F83288"/>
    <w:rsid w:val="00F836EC"/>
    <w:rsid w:val="00F83A64"/>
    <w:rsid w:val="00F83FA4"/>
    <w:rsid w:val="00F8421D"/>
    <w:rsid w:val="00F846FF"/>
    <w:rsid w:val="00F84858"/>
    <w:rsid w:val="00F84B78"/>
    <w:rsid w:val="00F85FEE"/>
    <w:rsid w:val="00F86007"/>
    <w:rsid w:val="00F861CF"/>
    <w:rsid w:val="00F8720A"/>
    <w:rsid w:val="00F87DEA"/>
    <w:rsid w:val="00F900E2"/>
    <w:rsid w:val="00F90677"/>
    <w:rsid w:val="00F91636"/>
    <w:rsid w:val="00F91714"/>
    <w:rsid w:val="00F93541"/>
    <w:rsid w:val="00F93F0B"/>
    <w:rsid w:val="00F93F21"/>
    <w:rsid w:val="00F9491E"/>
    <w:rsid w:val="00F951A7"/>
    <w:rsid w:val="00F95562"/>
    <w:rsid w:val="00F95651"/>
    <w:rsid w:val="00F95E09"/>
    <w:rsid w:val="00F96035"/>
    <w:rsid w:val="00F96330"/>
    <w:rsid w:val="00F96480"/>
    <w:rsid w:val="00F9653F"/>
    <w:rsid w:val="00F96AAB"/>
    <w:rsid w:val="00F97E15"/>
    <w:rsid w:val="00FA05F5"/>
    <w:rsid w:val="00FA1656"/>
    <w:rsid w:val="00FA1E47"/>
    <w:rsid w:val="00FA2EBE"/>
    <w:rsid w:val="00FA3AEC"/>
    <w:rsid w:val="00FA410C"/>
    <w:rsid w:val="00FA44F4"/>
    <w:rsid w:val="00FA4584"/>
    <w:rsid w:val="00FA6826"/>
    <w:rsid w:val="00FA6B97"/>
    <w:rsid w:val="00FA7634"/>
    <w:rsid w:val="00FB080E"/>
    <w:rsid w:val="00FB0BD1"/>
    <w:rsid w:val="00FB254D"/>
    <w:rsid w:val="00FB25F0"/>
    <w:rsid w:val="00FB25F4"/>
    <w:rsid w:val="00FB4BDD"/>
    <w:rsid w:val="00FB4E26"/>
    <w:rsid w:val="00FB532E"/>
    <w:rsid w:val="00FB56E3"/>
    <w:rsid w:val="00FB56F8"/>
    <w:rsid w:val="00FB574E"/>
    <w:rsid w:val="00FB598D"/>
    <w:rsid w:val="00FB614A"/>
    <w:rsid w:val="00FB6761"/>
    <w:rsid w:val="00FB737F"/>
    <w:rsid w:val="00FB7C81"/>
    <w:rsid w:val="00FB7D0C"/>
    <w:rsid w:val="00FC068F"/>
    <w:rsid w:val="00FC1A6D"/>
    <w:rsid w:val="00FC1B65"/>
    <w:rsid w:val="00FC350F"/>
    <w:rsid w:val="00FC3545"/>
    <w:rsid w:val="00FC4730"/>
    <w:rsid w:val="00FC4A64"/>
    <w:rsid w:val="00FC5CE6"/>
    <w:rsid w:val="00FC6F25"/>
    <w:rsid w:val="00FD01FF"/>
    <w:rsid w:val="00FD295D"/>
    <w:rsid w:val="00FD31E5"/>
    <w:rsid w:val="00FD4A1D"/>
    <w:rsid w:val="00FD4ECA"/>
    <w:rsid w:val="00FD53BC"/>
    <w:rsid w:val="00FD59DA"/>
    <w:rsid w:val="00FD5BBC"/>
    <w:rsid w:val="00FD6236"/>
    <w:rsid w:val="00FD62DF"/>
    <w:rsid w:val="00FD6FF4"/>
    <w:rsid w:val="00FE022E"/>
    <w:rsid w:val="00FE0AF4"/>
    <w:rsid w:val="00FE0B14"/>
    <w:rsid w:val="00FE0D6F"/>
    <w:rsid w:val="00FE1E76"/>
    <w:rsid w:val="00FE2051"/>
    <w:rsid w:val="00FE2A1E"/>
    <w:rsid w:val="00FE5309"/>
    <w:rsid w:val="00FE5329"/>
    <w:rsid w:val="00FE5E7E"/>
    <w:rsid w:val="00FE60AD"/>
    <w:rsid w:val="00FE6ADF"/>
    <w:rsid w:val="00FE742D"/>
    <w:rsid w:val="00FE763F"/>
    <w:rsid w:val="00FE7C93"/>
    <w:rsid w:val="00FE7F36"/>
    <w:rsid w:val="00FF10D0"/>
    <w:rsid w:val="00FF14D4"/>
    <w:rsid w:val="00FF1679"/>
    <w:rsid w:val="00FF1D7E"/>
    <w:rsid w:val="00FF2240"/>
    <w:rsid w:val="00FF2994"/>
    <w:rsid w:val="00FF39B0"/>
    <w:rsid w:val="00FF39D4"/>
    <w:rsid w:val="00FF4FAC"/>
    <w:rsid w:val="00FF52FB"/>
    <w:rsid w:val="00FF62CD"/>
    <w:rsid w:val="00FF6C1A"/>
    <w:rsid w:val="00FF755B"/>
    <w:rsid w:val="00FF75AF"/>
    <w:rsid w:val="00FF79F9"/>
    <w:rsid w:val="00FF7EA1"/>
    <w:rsid w:val="00FF7F79"/>
    <w:rsid w:val="00FF7FE4"/>
    <w:rsid w:val="01301DF5"/>
    <w:rsid w:val="01D53671"/>
    <w:rsid w:val="038744FC"/>
    <w:rsid w:val="04FF10A9"/>
    <w:rsid w:val="05CB7A18"/>
    <w:rsid w:val="05DE1650"/>
    <w:rsid w:val="05EE2503"/>
    <w:rsid w:val="06483656"/>
    <w:rsid w:val="06F602C6"/>
    <w:rsid w:val="06F73ADD"/>
    <w:rsid w:val="070C181F"/>
    <w:rsid w:val="086D3DA1"/>
    <w:rsid w:val="0A0555A9"/>
    <w:rsid w:val="0AA66A18"/>
    <w:rsid w:val="0ADD081A"/>
    <w:rsid w:val="0BFD1732"/>
    <w:rsid w:val="0DF31211"/>
    <w:rsid w:val="0EA904C1"/>
    <w:rsid w:val="0FD8068E"/>
    <w:rsid w:val="0FEC4D34"/>
    <w:rsid w:val="0FF11558"/>
    <w:rsid w:val="107601BA"/>
    <w:rsid w:val="10963C3E"/>
    <w:rsid w:val="11853532"/>
    <w:rsid w:val="11E568B0"/>
    <w:rsid w:val="134B5AB7"/>
    <w:rsid w:val="13C07C74"/>
    <w:rsid w:val="14247998"/>
    <w:rsid w:val="1635167B"/>
    <w:rsid w:val="17E40B63"/>
    <w:rsid w:val="17F208D5"/>
    <w:rsid w:val="182B5650"/>
    <w:rsid w:val="18562F5C"/>
    <w:rsid w:val="197D2182"/>
    <w:rsid w:val="1DD9332E"/>
    <w:rsid w:val="1E212DFF"/>
    <w:rsid w:val="221072FD"/>
    <w:rsid w:val="2217212B"/>
    <w:rsid w:val="22643966"/>
    <w:rsid w:val="237E1585"/>
    <w:rsid w:val="23A14882"/>
    <w:rsid w:val="24D069A9"/>
    <w:rsid w:val="25B57F8F"/>
    <w:rsid w:val="25FC32F9"/>
    <w:rsid w:val="260F7662"/>
    <w:rsid w:val="292B5A62"/>
    <w:rsid w:val="29533383"/>
    <w:rsid w:val="29C06AA7"/>
    <w:rsid w:val="2A884DFA"/>
    <w:rsid w:val="2C062248"/>
    <w:rsid w:val="2D154496"/>
    <w:rsid w:val="2D9A5D6D"/>
    <w:rsid w:val="2F3070DD"/>
    <w:rsid w:val="301D788B"/>
    <w:rsid w:val="30AD41EB"/>
    <w:rsid w:val="30B114BA"/>
    <w:rsid w:val="377B3594"/>
    <w:rsid w:val="387669E8"/>
    <w:rsid w:val="39E6092B"/>
    <w:rsid w:val="3A1201AA"/>
    <w:rsid w:val="3B013DDA"/>
    <w:rsid w:val="3C3360CD"/>
    <w:rsid w:val="40C94E83"/>
    <w:rsid w:val="430673EB"/>
    <w:rsid w:val="43D77D7B"/>
    <w:rsid w:val="440202B5"/>
    <w:rsid w:val="44094F85"/>
    <w:rsid w:val="45B377DD"/>
    <w:rsid w:val="46787E89"/>
    <w:rsid w:val="48D33368"/>
    <w:rsid w:val="4DBB7301"/>
    <w:rsid w:val="4E727EBB"/>
    <w:rsid w:val="4E732C3F"/>
    <w:rsid w:val="4EE755C8"/>
    <w:rsid w:val="50B576A0"/>
    <w:rsid w:val="536D2426"/>
    <w:rsid w:val="53C40F35"/>
    <w:rsid w:val="53F84509"/>
    <w:rsid w:val="545D1B9A"/>
    <w:rsid w:val="54B106B0"/>
    <w:rsid w:val="55481CE2"/>
    <w:rsid w:val="56D53F37"/>
    <w:rsid w:val="57023259"/>
    <w:rsid w:val="57D41D25"/>
    <w:rsid w:val="5ABD2A6D"/>
    <w:rsid w:val="5AE0238C"/>
    <w:rsid w:val="5AEA2C44"/>
    <w:rsid w:val="5BBA1969"/>
    <w:rsid w:val="5C693414"/>
    <w:rsid w:val="5C891BF6"/>
    <w:rsid w:val="5F4D1E6A"/>
    <w:rsid w:val="5F6A33D0"/>
    <w:rsid w:val="5F9752B1"/>
    <w:rsid w:val="6088642D"/>
    <w:rsid w:val="60D41E78"/>
    <w:rsid w:val="63B24C9F"/>
    <w:rsid w:val="660E41BF"/>
    <w:rsid w:val="684819AD"/>
    <w:rsid w:val="686A3F73"/>
    <w:rsid w:val="69667335"/>
    <w:rsid w:val="698E5D07"/>
    <w:rsid w:val="69E66D34"/>
    <w:rsid w:val="6B4351DC"/>
    <w:rsid w:val="6BC333DB"/>
    <w:rsid w:val="6E6C3273"/>
    <w:rsid w:val="717209D9"/>
    <w:rsid w:val="71A24D90"/>
    <w:rsid w:val="71DD153E"/>
    <w:rsid w:val="71EB2622"/>
    <w:rsid w:val="729C0167"/>
    <w:rsid w:val="74714201"/>
    <w:rsid w:val="77573C92"/>
    <w:rsid w:val="78CB5134"/>
    <w:rsid w:val="792A1003"/>
    <w:rsid w:val="79482EAF"/>
    <w:rsid w:val="7CEA4A34"/>
    <w:rsid w:val="7D291B7D"/>
    <w:rsid w:val="7DB71620"/>
    <w:rsid w:val="7F382EA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widowControl w:val="0"/>
      <w:autoSpaceDE w:val="0"/>
      <w:autoSpaceDN w:val="0"/>
      <w:adjustRightInd w:val="0"/>
    </w:pPr>
    <w:rPr>
      <w:rFonts w:ascii="Times New Roman" w:hAnsi="Times New Roman" w:eastAsia="Times New Roman" w:cs="Times New Roman"/>
      <w:lang w:val="ru-RU" w:eastAsia="ru-RU"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FollowedHyperlink"/>
    <w:semiHidden/>
    <w:unhideWhenUsed/>
    <w:qFormat/>
    <w:uiPriority w:val="99"/>
    <w:rPr>
      <w:color w:val="800080"/>
      <w:u w:val="single"/>
    </w:rPr>
  </w:style>
  <w:style w:type="character" w:styleId="5">
    <w:name w:val="Hyperlink"/>
    <w:unhideWhenUsed/>
    <w:qFormat/>
    <w:uiPriority w:val="99"/>
    <w:rPr>
      <w:color w:val="0000FF"/>
      <w:u w:val="single"/>
    </w:rPr>
  </w:style>
  <w:style w:type="paragraph" w:styleId="6">
    <w:name w:val="Balloon Text"/>
    <w:basedOn w:val="1"/>
    <w:link w:val="33"/>
    <w:semiHidden/>
    <w:unhideWhenUsed/>
    <w:qFormat/>
    <w:uiPriority w:val="99"/>
    <w:rPr>
      <w:rFonts w:ascii="Tahoma" w:hAnsi="Tahoma"/>
      <w:sz w:val="16"/>
      <w:szCs w:val="16"/>
    </w:rPr>
  </w:style>
  <w:style w:type="paragraph" w:styleId="7">
    <w:name w:val="header"/>
    <w:basedOn w:val="1"/>
    <w:link w:val="20"/>
    <w:unhideWhenUsed/>
    <w:qFormat/>
    <w:uiPriority w:val="99"/>
    <w:pPr>
      <w:tabs>
        <w:tab w:val="center" w:pos="4677"/>
        <w:tab w:val="right" w:pos="9355"/>
      </w:tabs>
    </w:pPr>
  </w:style>
  <w:style w:type="paragraph" w:styleId="8">
    <w:name w:val="Body Text"/>
    <w:basedOn w:val="1"/>
    <w:link w:val="22"/>
    <w:qFormat/>
    <w:uiPriority w:val="99"/>
    <w:pPr>
      <w:widowControl/>
      <w:shd w:val="clear" w:color="auto" w:fill="FFFFFF"/>
      <w:autoSpaceDE/>
      <w:autoSpaceDN/>
      <w:adjustRightInd/>
      <w:spacing w:before="660" w:after="420" w:line="240" w:lineRule="atLeast"/>
    </w:pPr>
    <w:rPr>
      <w:rFonts w:ascii="Arial" w:hAnsi="Arial" w:eastAsia="Calibri"/>
      <w:sz w:val="23"/>
      <w:szCs w:val="23"/>
    </w:rPr>
  </w:style>
  <w:style w:type="paragraph" w:styleId="9">
    <w:name w:val="footer"/>
    <w:basedOn w:val="1"/>
    <w:link w:val="21"/>
    <w:unhideWhenUsed/>
    <w:qFormat/>
    <w:uiPriority w:val="99"/>
    <w:pPr>
      <w:tabs>
        <w:tab w:val="center" w:pos="4677"/>
        <w:tab w:val="right" w:pos="9355"/>
      </w:tabs>
    </w:pPr>
  </w:style>
  <w:style w:type="paragraph" w:styleId="10">
    <w:name w:val="Normal (Web)"/>
    <w:basedOn w:val="1"/>
    <w:unhideWhenUsed/>
    <w:qFormat/>
    <w:uiPriority w:val="99"/>
    <w:pPr>
      <w:widowControl/>
      <w:autoSpaceDE/>
      <w:autoSpaceDN/>
      <w:adjustRightInd/>
      <w:spacing w:before="100" w:beforeAutospacing="1" w:after="100" w:afterAutospacing="1"/>
    </w:pPr>
    <w:rPr>
      <w:sz w:val="24"/>
      <w:szCs w:val="24"/>
    </w:rPr>
  </w:style>
  <w:style w:type="paragraph" w:styleId="11">
    <w:name w:val="List Paragraph"/>
    <w:basedOn w:val="1"/>
    <w:qFormat/>
    <w:uiPriority w:val="34"/>
    <w:pPr>
      <w:ind w:left="720"/>
      <w:contextualSpacing/>
    </w:pPr>
  </w:style>
  <w:style w:type="character" w:customStyle="1" w:styleId="12">
    <w:name w:val="Основной текст_"/>
    <w:link w:val="13"/>
    <w:qFormat/>
    <w:uiPriority w:val="0"/>
    <w:rPr>
      <w:rFonts w:ascii="Times New Roman" w:hAnsi="Times New Roman" w:eastAsia="Times New Roman" w:cs="Times New Roman"/>
      <w:sz w:val="26"/>
      <w:szCs w:val="26"/>
      <w:shd w:val="clear" w:color="auto" w:fill="FFFFFF"/>
    </w:rPr>
  </w:style>
  <w:style w:type="paragraph" w:customStyle="1" w:styleId="13">
    <w:name w:val="Основной текст8"/>
    <w:basedOn w:val="1"/>
    <w:link w:val="12"/>
    <w:qFormat/>
    <w:uiPriority w:val="0"/>
    <w:pPr>
      <w:widowControl/>
      <w:shd w:val="clear" w:color="auto" w:fill="FFFFFF"/>
      <w:autoSpaceDE/>
      <w:autoSpaceDN/>
      <w:adjustRightInd/>
      <w:spacing w:before="420" w:line="322" w:lineRule="exact"/>
      <w:jc w:val="both"/>
    </w:pPr>
    <w:rPr>
      <w:sz w:val="26"/>
      <w:szCs w:val="26"/>
    </w:rPr>
  </w:style>
  <w:style w:type="character" w:customStyle="1" w:styleId="14">
    <w:name w:val="Основной текст2"/>
    <w:qFormat/>
    <w:uiPriority w:val="0"/>
    <w:rPr>
      <w:rFonts w:ascii="Times New Roman" w:hAnsi="Times New Roman" w:eastAsia="Times New Roman" w:cs="Times New Roman"/>
      <w:sz w:val="26"/>
      <w:szCs w:val="26"/>
      <w:shd w:val="clear" w:color="auto" w:fill="FFFFFF"/>
    </w:rPr>
  </w:style>
  <w:style w:type="character" w:customStyle="1" w:styleId="15">
    <w:name w:val="Основной текст + Полужирный"/>
    <w:qFormat/>
    <w:uiPriority w:val="0"/>
    <w:rPr>
      <w:rFonts w:ascii="Times New Roman" w:hAnsi="Times New Roman" w:eastAsia="Times New Roman" w:cs="Times New Roman"/>
      <w:b/>
      <w:bCs/>
      <w:sz w:val="26"/>
      <w:szCs w:val="26"/>
      <w:shd w:val="clear" w:color="auto" w:fill="FFFFFF"/>
    </w:rPr>
  </w:style>
  <w:style w:type="character" w:customStyle="1" w:styleId="16">
    <w:name w:val="Основной текст4"/>
    <w:qFormat/>
    <w:uiPriority w:val="0"/>
    <w:rPr>
      <w:rFonts w:ascii="Times New Roman" w:hAnsi="Times New Roman" w:eastAsia="Times New Roman" w:cs="Times New Roman"/>
      <w:sz w:val="26"/>
      <w:szCs w:val="26"/>
      <w:shd w:val="clear" w:color="auto" w:fill="FFFFFF"/>
    </w:rPr>
  </w:style>
  <w:style w:type="character" w:customStyle="1" w:styleId="17">
    <w:name w:val="Основной текст5"/>
    <w:qFormat/>
    <w:uiPriority w:val="0"/>
    <w:rPr>
      <w:rFonts w:ascii="Times New Roman" w:hAnsi="Times New Roman" w:eastAsia="Times New Roman" w:cs="Times New Roman"/>
      <w:sz w:val="26"/>
      <w:szCs w:val="26"/>
      <w:shd w:val="clear" w:color="auto" w:fill="FFFFFF"/>
    </w:rPr>
  </w:style>
  <w:style w:type="character" w:customStyle="1" w:styleId="18">
    <w:name w:val="Основной текст6"/>
    <w:qFormat/>
    <w:uiPriority w:val="0"/>
    <w:rPr>
      <w:rFonts w:ascii="Times New Roman" w:hAnsi="Times New Roman" w:eastAsia="Times New Roman" w:cs="Times New Roman"/>
      <w:spacing w:val="0"/>
      <w:sz w:val="26"/>
      <w:szCs w:val="26"/>
      <w:shd w:val="clear" w:color="auto" w:fill="FFFFFF"/>
    </w:rPr>
  </w:style>
  <w:style w:type="character" w:customStyle="1" w:styleId="19">
    <w:name w:val="Основной текст7"/>
    <w:qFormat/>
    <w:uiPriority w:val="0"/>
    <w:rPr>
      <w:rFonts w:ascii="Times New Roman" w:hAnsi="Times New Roman" w:eastAsia="Times New Roman" w:cs="Times New Roman"/>
      <w:spacing w:val="0"/>
      <w:sz w:val="26"/>
      <w:szCs w:val="26"/>
      <w:shd w:val="clear" w:color="auto" w:fill="FFFFFF"/>
    </w:rPr>
  </w:style>
  <w:style w:type="character" w:customStyle="1" w:styleId="20">
    <w:name w:val="Верхний колонтитул Знак"/>
    <w:link w:val="7"/>
    <w:qFormat/>
    <w:uiPriority w:val="99"/>
    <w:rPr>
      <w:rFonts w:ascii="Times New Roman" w:hAnsi="Times New Roman" w:eastAsia="Times New Roman" w:cs="Times New Roman"/>
      <w:sz w:val="20"/>
      <w:szCs w:val="20"/>
      <w:lang w:eastAsia="ru-RU"/>
    </w:rPr>
  </w:style>
  <w:style w:type="character" w:customStyle="1" w:styleId="21">
    <w:name w:val="Нижний колонтитул Знак"/>
    <w:link w:val="9"/>
    <w:qFormat/>
    <w:uiPriority w:val="99"/>
    <w:rPr>
      <w:rFonts w:ascii="Times New Roman" w:hAnsi="Times New Roman" w:eastAsia="Times New Roman" w:cs="Times New Roman"/>
      <w:sz w:val="20"/>
      <w:szCs w:val="20"/>
      <w:lang w:eastAsia="ru-RU"/>
    </w:rPr>
  </w:style>
  <w:style w:type="character" w:customStyle="1" w:styleId="22">
    <w:name w:val="Основной текст Знак1"/>
    <w:link w:val="8"/>
    <w:qFormat/>
    <w:uiPriority w:val="99"/>
    <w:rPr>
      <w:rFonts w:ascii="Arial" w:hAnsi="Arial" w:cs="Arial"/>
      <w:sz w:val="23"/>
      <w:szCs w:val="23"/>
      <w:shd w:val="clear" w:color="auto" w:fill="FFFFFF"/>
    </w:rPr>
  </w:style>
  <w:style w:type="character" w:customStyle="1" w:styleId="23">
    <w:name w:val="Основной текст Знак"/>
    <w:semiHidden/>
    <w:qFormat/>
    <w:uiPriority w:val="99"/>
    <w:rPr>
      <w:rFonts w:ascii="Times New Roman" w:hAnsi="Times New Roman" w:eastAsia="Times New Roman" w:cs="Times New Roman"/>
      <w:sz w:val="20"/>
      <w:szCs w:val="20"/>
      <w:lang w:eastAsia="ru-RU"/>
    </w:rPr>
  </w:style>
  <w:style w:type="character" w:customStyle="1" w:styleId="24">
    <w:name w:val="Заголовок №2_"/>
    <w:link w:val="25"/>
    <w:qFormat/>
    <w:uiPriority w:val="99"/>
    <w:rPr>
      <w:rFonts w:ascii="Arial" w:hAnsi="Arial" w:cs="Arial"/>
      <w:b/>
      <w:bCs/>
      <w:sz w:val="23"/>
      <w:szCs w:val="23"/>
      <w:shd w:val="clear" w:color="auto" w:fill="FFFFFF"/>
    </w:rPr>
  </w:style>
  <w:style w:type="paragraph" w:customStyle="1" w:styleId="25">
    <w:name w:val="Заголовок №2"/>
    <w:basedOn w:val="1"/>
    <w:link w:val="24"/>
    <w:qFormat/>
    <w:uiPriority w:val="99"/>
    <w:pPr>
      <w:widowControl/>
      <w:shd w:val="clear" w:color="auto" w:fill="FFFFFF"/>
      <w:autoSpaceDE/>
      <w:autoSpaceDN/>
      <w:adjustRightInd/>
      <w:spacing w:before="420" w:after="420" w:line="240" w:lineRule="atLeast"/>
      <w:ind w:hanging="2140"/>
      <w:jc w:val="center"/>
      <w:outlineLvl w:val="1"/>
    </w:pPr>
    <w:rPr>
      <w:rFonts w:ascii="Arial" w:hAnsi="Arial" w:eastAsia="Calibri"/>
      <w:b/>
      <w:bCs/>
      <w:sz w:val="23"/>
      <w:szCs w:val="23"/>
    </w:rPr>
  </w:style>
  <w:style w:type="character" w:customStyle="1" w:styleId="26">
    <w:name w:val="Колонтитул_"/>
    <w:link w:val="27"/>
    <w:qFormat/>
    <w:locked/>
    <w:uiPriority w:val="99"/>
    <w:rPr>
      <w:rFonts w:ascii="Times New Roman" w:hAnsi="Times New Roman"/>
      <w:sz w:val="20"/>
      <w:szCs w:val="20"/>
      <w:shd w:val="clear" w:color="auto" w:fill="FFFFFF"/>
    </w:rPr>
  </w:style>
  <w:style w:type="paragraph" w:customStyle="1" w:styleId="27">
    <w:name w:val="Колонтитул"/>
    <w:basedOn w:val="1"/>
    <w:link w:val="26"/>
    <w:qFormat/>
    <w:uiPriority w:val="99"/>
    <w:pPr>
      <w:widowControl/>
      <w:shd w:val="clear" w:color="auto" w:fill="FFFFFF"/>
      <w:autoSpaceDE/>
      <w:autoSpaceDN/>
      <w:adjustRightInd/>
    </w:pPr>
    <w:rPr>
      <w:rFonts w:eastAsia="Calibri"/>
    </w:rPr>
  </w:style>
  <w:style w:type="character" w:customStyle="1" w:styleId="28">
    <w:name w:val="Колонтитул + 11"/>
    <w:qFormat/>
    <w:uiPriority w:val="99"/>
    <w:rPr>
      <w:rFonts w:ascii="Times New Roman" w:hAnsi="Times New Roman"/>
      <w:spacing w:val="0"/>
      <w:sz w:val="23"/>
      <w:szCs w:val="23"/>
      <w:shd w:val="clear" w:color="auto" w:fill="FFFFFF"/>
    </w:rPr>
  </w:style>
  <w:style w:type="character" w:customStyle="1" w:styleId="29">
    <w:name w:val="Подпись к таблице_"/>
    <w:link w:val="30"/>
    <w:qFormat/>
    <w:locked/>
    <w:uiPriority w:val="99"/>
    <w:rPr>
      <w:rFonts w:ascii="Arial" w:hAnsi="Arial" w:cs="Arial"/>
      <w:sz w:val="23"/>
      <w:szCs w:val="23"/>
      <w:shd w:val="clear" w:color="auto" w:fill="FFFFFF"/>
    </w:rPr>
  </w:style>
  <w:style w:type="paragraph" w:customStyle="1" w:styleId="30">
    <w:name w:val="Подпись к таблице1"/>
    <w:basedOn w:val="1"/>
    <w:link w:val="29"/>
    <w:qFormat/>
    <w:uiPriority w:val="99"/>
    <w:pPr>
      <w:widowControl/>
      <w:shd w:val="clear" w:color="auto" w:fill="FFFFFF"/>
      <w:autoSpaceDE/>
      <w:autoSpaceDN/>
      <w:adjustRightInd/>
      <w:spacing w:line="322" w:lineRule="exact"/>
      <w:jc w:val="both"/>
    </w:pPr>
    <w:rPr>
      <w:rFonts w:ascii="Arial" w:hAnsi="Arial" w:eastAsia="Calibri"/>
      <w:sz w:val="23"/>
      <w:szCs w:val="23"/>
    </w:rPr>
  </w:style>
  <w:style w:type="character" w:customStyle="1" w:styleId="31">
    <w:name w:val="Основной текст (15)_"/>
    <w:link w:val="32"/>
    <w:qFormat/>
    <w:locked/>
    <w:uiPriority w:val="99"/>
    <w:rPr>
      <w:rFonts w:ascii="Arial" w:hAnsi="Arial" w:cs="Arial"/>
      <w:b/>
      <w:bCs/>
      <w:sz w:val="17"/>
      <w:szCs w:val="17"/>
      <w:shd w:val="clear" w:color="auto" w:fill="FFFFFF"/>
    </w:rPr>
  </w:style>
  <w:style w:type="paragraph" w:customStyle="1" w:styleId="32">
    <w:name w:val="Основной текст (15)"/>
    <w:basedOn w:val="1"/>
    <w:link w:val="31"/>
    <w:qFormat/>
    <w:uiPriority w:val="99"/>
    <w:pPr>
      <w:widowControl/>
      <w:shd w:val="clear" w:color="auto" w:fill="FFFFFF"/>
      <w:autoSpaceDE/>
      <w:autoSpaceDN/>
      <w:adjustRightInd/>
      <w:spacing w:line="240" w:lineRule="atLeast"/>
    </w:pPr>
    <w:rPr>
      <w:rFonts w:ascii="Arial" w:hAnsi="Arial" w:eastAsia="Calibri"/>
      <w:b/>
      <w:bCs/>
      <w:sz w:val="17"/>
      <w:szCs w:val="17"/>
    </w:rPr>
  </w:style>
  <w:style w:type="character" w:customStyle="1" w:styleId="33">
    <w:name w:val="Текст выноски Знак"/>
    <w:link w:val="6"/>
    <w:semiHidden/>
    <w:qFormat/>
    <w:uiPriority w:val="99"/>
    <w:rPr>
      <w:rFonts w:ascii="Tahoma" w:hAnsi="Tahoma" w:eastAsia="Times New Roman" w:cs="Tahoma"/>
      <w:sz w:val="16"/>
      <w:szCs w:val="16"/>
      <w:lang w:eastAsia="ru-RU"/>
    </w:rPr>
  </w:style>
  <w:style w:type="character" w:customStyle="1" w:styleId="34">
    <w:name w:val="article_seperator"/>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chart" Target="charts/chart1.xml"/><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oleObject" Target="file:///C:\bacup\&#1052;&#1086;&#1080;%20&#1076;&#1086;&#1082;&#1091;&#1084;&#1077;&#1085;&#1090;&#1099;%201\Documents\&#1055;&#1056;&#1054;&#1042;&#1045;&#1056;&#1050;&#1048;%202020-2025\&#1055;&#1088;&#1086;&#1074;&#1077;&#1088;&#1082;&#1080;%202025%20&#1075;&#1086;&#1076;\&#1055;&#1056;&#1054;&#1045;&#1050;&#1058;%20&#1041;&#1070;&#1044;&#1046;&#1045;&#1058;&#1040;%20&#1053;&#1040;%202026%20&#1075;&#1086;&#1076;%20&#1080;%20&#1087;&#1083;&#1072;&#1085;&#1086;&#1074;&#1099;&#1081;%20&#1087;&#1077;&#1088;&#1080;&#1086;&#1076;\&#1040;&#1085;&#1072;&#1083;&#1080;&#1079;%20%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30"/>
      <c:depthPercent val="100"/>
      <c:rAngAx val="0"/>
    </c:view3D>
    <c:floor>
      <c:thickness val="0"/>
    </c:floor>
    <c:sideWall>
      <c:thickness val="0"/>
    </c:sideWall>
    <c:backWall>
      <c:thickness val="0"/>
    </c:backWall>
    <c:plotArea>
      <c:layout>
        <c:manualLayout>
          <c:layoutTarget val="inner"/>
          <c:xMode val="edge"/>
          <c:yMode val="edge"/>
          <c:x val="0.228359211106272"/>
          <c:y val="0.195046276989148"/>
          <c:w val="0.579145089506974"/>
          <c:h val="0.557776079022974"/>
        </c:manualLayout>
      </c:layout>
      <c:pie3DChart>
        <c:varyColors val="1"/>
        <c:ser>
          <c:idx val="0"/>
          <c:order val="0"/>
          <c:explosion val="13"/>
          <c:dPt>
            <c:idx val="0"/>
            <c:bubble3D val="0"/>
          </c:dPt>
          <c:dPt>
            <c:idx val="1"/>
            <c:bubble3D val="0"/>
          </c:dPt>
          <c:dPt>
            <c:idx val="2"/>
            <c:bubble3D val="0"/>
          </c:dPt>
          <c:dPt>
            <c:idx val="3"/>
            <c:bubble3D val="0"/>
          </c:dPt>
          <c:dPt>
            <c:idx val="4"/>
            <c:bubble3D val="0"/>
          </c:dPt>
          <c:dPt>
            <c:idx val="5"/>
            <c:bubble3D val="0"/>
          </c:dPt>
          <c:dLbls>
            <c:dLbl>
              <c:idx val="0"/>
              <c:layout>
                <c:manualLayout>
                  <c:x val="0.169128100537126"/>
                  <c:y val="0"/>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211270211621768"/>
                  <c:y val="-0.0439264903630658"/>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145509004953672"/>
                  <c:y val="-0.30370585378495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0248533545297886"/>
                  <c:y val="-0.076827747130229"/>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4"/>
              <c:layout>
                <c:manualLayout>
                  <c:x val="0.0299193662469939"/>
                  <c:y val="-0.439005132254244"/>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5"/>
              <c:layout>
                <c:manualLayout>
                  <c:x val="0.159387290416063"/>
                  <c:y val="-0.401335988011997"/>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numFmt formatCode="0.0%" sourceLinked="0"/>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1"/>
                </a:solidFill>
              </a:ln>
              <a:effectLst/>
            </c:spPr>
            <c:txPr>
              <a:bodyPr rot="0" spcFirstLastPara="0" vertOverflow="ellipsis" vert="horz" wrap="square" lIns="38100" tIns="19050" rIns="38100" bIns="19050" anchor="ctr" anchorCtr="1"/>
              <a:lstStyle/>
              <a:p>
                <a:pPr>
                  <a:defRPr lang="ru-RU" sz="1200" b="1" i="0" u="none" strike="noStrike" kern="1200" baseline="0">
                    <a:solidFill>
                      <a:schemeClr val="tx1"/>
                    </a:solidFill>
                    <a:latin typeface="Times New Roman" panose="02020603050405020304" charset="0"/>
                    <a:ea typeface="+mn-ea"/>
                    <a:cs typeface="Times New Roman" panose="02020603050405020304" charset="0"/>
                  </a:defRPr>
                </a:pPr>
              </a:p>
            </c:tx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15:layout/>
                <c15:showLeaderLines val="1"/>
                <c15:leaderLines/>
              </c:ext>
            </c:extLst>
          </c:dLbls>
          <c:cat>
            <c:strRef>
              <c:f>'[Анализ  1.xlsx]диагр'!$B$5:$B$10</c:f>
              <c:strCache>
                <c:ptCount val="6"/>
                <c:pt idx="0">
                  <c:v>Налог на доходы физических лиц</c:v>
                </c:pt>
                <c:pt idx="1">
                  <c:v>Остальные налоговые и неналоговые доходы</c:v>
                </c:pt>
                <c:pt idx="2">
                  <c:v>ДОТАЦИЯ</c:v>
                </c:pt>
                <c:pt idx="3">
                  <c:v>Субсидии</c:v>
                </c:pt>
                <c:pt idx="4">
                  <c:v>Субвенции </c:v>
                </c:pt>
                <c:pt idx="5">
                  <c:v>Иные межбюджетные трансферты</c:v>
                </c:pt>
              </c:strCache>
            </c:strRef>
          </c:cat>
          <c:val>
            <c:numRef>
              <c:f>'[Анализ  1.xlsx]диагр'!$C$5:$C$10</c:f>
              <c:numCache>
                <c:formatCode>#\ ##0.0</c:formatCode>
                <c:ptCount val="6"/>
                <c:pt idx="0">
                  <c:v>228393.5</c:v>
                </c:pt>
                <c:pt idx="1">
                  <c:v>55551.3</c:v>
                </c:pt>
                <c:pt idx="2">
                  <c:v>290941.1</c:v>
                </c:pt>
                <c:pt idx="3">
                  <c:v>29068.2</c:v>
                </c:pt>
                <c:pt idx="4">
                  <c:v>466223.7</c:v>
                </c:pt>
                <c:pt idx="5">
                  <c:v>59636.8</c:v>
                </c:pt>
              </c:numCache>
            </c:numRef>
          </c:val>
        </c:ser>
        <c:dLbls>
          <c:showLegendKey val="0"/>
          <c:showVal val="0"/>
          <c:showCatName val="0"/>
          <c:showSerName val="0"/>
          <c:showPercent val="0"/>
          <c:showBubbleSize val="0"/>
        </c:dLbls>
      </c:pie3DChart>
    </c:plotArea>
    <c:plotVisOnly val="1"/>
    <c:dispBlanksAs val="zero"/>
    <c:showDLblsOverMax val="0"/>
    <c:extLst>
      <c:ext uri="{0b15fc19-7d7d-44ad-8c2d-2c3a37ce22c3}">
        <chartProps xmlns="https://web.wps.cn/et/2018/main" chartId="{600ebb1f-e7dc-4293-bc32-e0a244271a44}"/>
      </c:ext>
    </c:extLst>
  </c:chart>
  <c:spPr>
    <a:blipFill>
      <a:blip xmlns:r="http://schemas.openxmlformats.org/officeDocument/2006/relationships" r:embed="rId2"/>
      <a:tile tx="0" ty="0" sx="100000" sy="100000" flip="none" algn="tl"/>
    </a:blipFill>
  </c:spPr>
  <c:txPr>
    <a:bodyPr/>
    <a:lstStyle/>
    <a:p>
      <a:pPr>
        <a:defRPr lang="ru-RU"/>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45963-E5A3-4CFD-B296-841DCFEB8AB7}">
  <ds:schemaRefs/>
</ds:datastoreItem>
</file>

<file path=docProps/app.xml><?xml version="1.0" encoding="utf-8"?>
<Properties xmlns="http://schemas.openxmlformats.org/officeDocument/2006/extended-properties" xmlns:vt="http://schemas.openxmlformats.org/officeDocument/2006/docPropsVTypes">
  <Template>Normal</Template>
  <Pages>25</Pages>
  <Words>7513</Words>
  <Characters>46549</Characters>
  <Lines>420</Lines>
  <Paragraphs>118</Paragraphs>
  <TotalTime>103</TotalTime>
  <ScaleCrop>false</ScaleCrop>
  <LinksUpToDate>false</LinksUpToDate>
  <CharactersWithSpaces>54732</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2026-01-11T07:58:00Z</dcterms:created>
  <dc:creator>Аюша</dc:creator>
  <cp:lastModifiedBy>admin</cp:lastModifiedBy>
  <cp:lastPrinted>2026-01-14T07:48:43Z</cp:lastPrinted>
  <dcterms:modified xsi:type="dcterms:W3CDTF">2026-01-14T07:57:51Z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7649FA61D9384CB39567B346D40D8B16_13</vt:lpwstr>
  </property>
</Properties>
</file>