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66" w:rsidRPr="00370866" w:rsidRDefault="00370866" w:rsidP="0037086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708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Ад</w:t>
      </w:r>
      <w:r w:rsidR="002E4B0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министрация Газимуро-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Заводского</w:t>
      </w:r>
    </w:p>
    <w:p w:rsidR="00370866" w:rsidRPr="00370866" w:rsidRDefault="00370866" w:rsidP="00370866">
      <w:pPr>
        <w:tabs>
          <w:tab w:val="left" w:pos="394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муниципального округа</w:t>
      </w:r>
    </w:p>
    <w:p w:rsidR="00370866" w:rsidRPr="00370866" w:rsidRDefault="00370866" w:rsidP="00370866">
      <w:pPr>
        <w:tabs>
          <w:tab w:val="left" w:pos="3945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370866" w:rsidRPr="00370866" w:rsidRDefault="00370866" w:rsidP="00370866">
      <w:pPr>
        <w:tabs>
          <w:tab w:val="left" w:pos="394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7086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370866" w:rsidRPr="00370866" w:rsidRDefault="00370866" w:rsidP="003708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866" w:rsidRPr="00370866" w:rsidRDefault="000845AD" w:rsidP="00370866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2E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866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2024</w:t>
      </w:r>
      <w:r w:rsidR="00370866" w:rsidRPr="0037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</w:t>
      </w:r>
      <w:r w:rsidR="002E4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70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D94E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242</w:t>
      </w:r>
    </w:p>
    <w:p w:rsidR="00370866" w:rsidRDefault="00370866" w:rsidP="00370866">
      <w:pPr>
        <w:tabs>
          <w:tab w:val="left" w:pos="36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708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село Газимурский Завод</w:t>
      </w:r>
    </w:p>
    <w:p w:rsidR="002E4B06" w:rsidRDefault="002E4B06" w:rsidP="00370866">
      <w:pPr>
        <w:tabs>
          <w:tab w:val="left" w:pos="36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D41A0" w:rsidRPr="00370866" w:rsidRDefault="00CD41A0" w:rsidP="00370866">
      <w:pPr>
        <w:tabs>
          <w:tab w:val="left" w:pos="366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94EDF" w:rsidRDefault="00D94EDF" w:rsidP="00D94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4A5E">
        <w:rPr>
          <w:rFonts w:ascii="Times New Roman" w:hAnsi="Times New Roman" w:cs="Times New Roman"/>
          <w:b/>
          <w:sz w:val="28"/>
          <w:szCs w:val="28"/>
        </w:rPr>
        <w:t>Об утверждении муниципальной программы «Предоставление молодым семьям социальных выплат на приобретение (строительство) жилья и их использования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BD4A5E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8 годы</w:t>
      </w:r>
      <w:r w:rsidRPr="00BD4A5E">
        <w:rPr>
          <w:rFonts w:ascii="Times New Roman" w:hAnsi="Times New Roman" w:cs="Times New Roman"/>
          <w:b/>
          <w:sz w:val="28"/>
          <w:szCs w:val="28"/>
        </w:rPr>
        <w:t>»</w:t>
      </w:r>
    </w:p>
    <w:p w:rsidR="00D94EDF" w:rsidRPr="00BD4A5E" w:rsidRDefault="00D94EDF" w:rsidP="00D94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EDF" w:rsidRPr="00D94EDF" w:rsidRDefault="00D94EDF" w:rsidP="00D94E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4A5E">
        <w:rPr>
          <w:rFonts w:ascii="Times New Roman" w:hAnsi="Times New Roman" w:cs="Times New Roman"/>
          <w:sz w:val="28"/>
          <w:szCs w:val="28"/>
        </w:rPr>
        <w:t xml:space="preserve">В целях обеспечения жильем молодых семей, признанных нуждающимися в улучшении жилищных условий на </w:t>
      </w:r>
      <w:r>
        <w:rPr>
          <w:rFonts w:ascii="Times New Roman" w:hAnsi="Times New Roman" w:cs="Times New Roman"/>
          <w:sz w:val="28"/>
          <w:szCs w:val="28"/>
        </w:rPr>
        <w:t>Газимуро-Заводского муниципального округа</w:t>
      </w:r>
      <w:r w:rsidRPr="00BD4A5E">
        <w:rPr>
          <w:rFonts w:ascii="Times New Roman" w:hAnsi="Times New Roman" w:cs="Times New Roman"/>
          <w:sz w:val="28"/>
          <w:szCs w:val="28"/>
        </w:rPr>
        <w:t>, в соответствии с Федеральным законом от 06.10.2003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BD4A5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государственной программы «Развитие территорий и жилищная политика Забайкальского края» от 31.12.2015,</w:t>
      </w:r>
      <w:r w:rsidRPr="00BD4A5E">
        <w:rPr>
          <w:rFonts w:ascii="Times New Roman" w:hAnsi="Times New Roman" w:cs="Times New Roman"/>
          <w:sz w:val="28"/>
          <w:szCs w:val="28"/>
        </w:rPr>
        <w:t xml:space="preserve"> «Порядком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Газимуро-Заводского муниципального округа, утвержденным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 а</w:t>
      </w:r>
      <w:r w:rsidRPr="00BD4A5E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Газимуро-Заводского муниципального округа 16 апреля 2024 года</w:t>
      </w:r>
      <w:r w:rsidRPr="00BD4A5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  <w:r w:rsidRPr="00BD4A5E">
        <w:rPr>
          <w:rFonts w:ascii="Times New Roman" w:hAnsi="Times New Roman" w:cs="Times New Roman"/>
          <w:sz w:val="28"/>
          <w:szCs w:val="28"/>
        </w:rPr>
        <w:t xml:space="preserve">7, руководствуясь Уставом </w:t>
      </w:r>
      <w:r>
        <w:rPr>
          <w:rFonts w:ascii="Times New Roman" w:hAnsi="Times New Roman" w:cs="Times New Roman"/>
          <w:sz w:val="28"/>
          <w:szCs w:val="28"/>
        </w:rPr>
        <w:t>Газимуро-Заводского муниципального округа</w:t>
      </w:r>
      <w:r w:rsidRPr="00BD4A5E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Газимуро-Заводского муниципального округа </w:t>
      </w:r>
      <w:r w:rsidRPr="00D94ED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D94EDF" w:rsidRDefault="00D94EDF" w:rsidP="00D9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EDF" w:rsidRPr="00BD4A5E" w:rsidRDefault="00D94EDF" w:rsidP="00D9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A5E">
        <w:rPr>
          <w:rFonts w:ascii="Times New Roman" w:hAnsi="Times New Roman" w:cs="Times New Roman"/>
          <w:sz w:val="28"/>
          <w:szCs w:val="28"/>
        </w:rPr>
        <w:t>1. Утвердить муниципальную программу «Предоставление молодым семьям социальных выплат на приобретение (строительство) жилья и их использования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D4A5E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8 годы</w:t>
      </w:r>
      <w:r w:rsidRPr="00BD4A5E">
        <w:rPr>
          <w:rFonts w:ascii="Times New Roman" w:hAnsi="Times New Roman" w:cs="Times New Roman"/>
          <w:sz w:val="28"/>
          <w:szCs w:val="28"/>
        </w:rPr>
        <w:t>» (прилагается).</w:t>
      </w:r>
    </w:p>
    <w:p w:rsidR="00D94EDF" w:rsidRPr="00BD4A5E" w:rsidRDefault="00D94EDF" w:rsidP="00D9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4A5E">
        <w:rPr>
          <w:rFonts w:ascii="Times New Roman" w:hAnsi="Times New Roman" w:cs="Times New Roman"/>
          <w:sz w:val="28"/>
          <w:szCs w:val="28"/>
        </w:rPr>
        <w:t>2. Настоящее 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вступает в силу с 01 января 2025</w:t>
      </w:r>
      <w:r w:rsidRPr="00BD4A5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94EDF" w:rsidRDefault="00D94EDF" w:rsidP="00D9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4A5E">
        <w:rPr>
          <w:rFonts w:ascii="Times New Roman" w:hAnsi="Times New Roman" w:cs="Times New Roman"/>
          <w:sz w:val="28"/>
          <w:szCs w:val="28"/>
        </w:rPr>
        <w:t xml:space="preserve">3. Настоящее постановление обнародовать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Газимуро-Заводского муниципального округа</w:t>
      </w:r>
      <w:r w:rsidRPr="00BD4A5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FB0D6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Pr="00FB0D6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Pr="00FB0D6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gazzavod</w:t>
        </w:r>
        <w:proofErr w:type="spellEnd"/>
        <w:r w:rsidRPr="00FB0D6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Pr="00D16BD4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75</w:t>
        </w:r>
        <w:r w:rsidRPr="00FB0D6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.ru</w:t>
        </w:r>
      </w:hyperlink>
      <w:r w:rsidRPr="00BD4A5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70866" w:rsidRDefault="00370866" w:rsidP="002A6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4734" w:rsidRDefault="00D74734" w:rsidP="002A67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866" w:rsidRPr="000845AD" w:rsidRDefault="00370866" w:rsidP="002A679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866" w:rsidRPr="000845AD" w:rsidRDefault="000845AD" w:rsidP="00A5667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845A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</w:t>
      </w:r>
      <w:proofErr w:type="spellEnd"/>
      <w:r w:rsidR="002E4B06" w:rsidRPr="0008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5667B" w:rsidRPr="000845A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 муниципального района</w:t>
      </w:r>
    </w:p>
    <w:p w:rsidR="002A6794" w:rsidRDefault="00A5667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«Газимуро-Заводский район»                                 </w:t>
      </w:r>
      <w:r w:rsidR="00CD41A0" w:rsidRPr="0008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8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Pr="0008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E4B06" w:rsidRPr="0008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8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794" w:rsidRPr="0008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0845AD" w:rsidRPr="000845AD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 Бондарев</w:t>
      </w:r>
    </w:p>
    <w:p w:rsidR="00D94EDF" w:rsidRDefault="00D94E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94EDF" w:rsidRDefault="00D94EDF" w:rsidP="00D94ED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УТВЕРЖДЕНА </w:t>
      </w:r>
      <w:r>
        <w:rPr>
          <w:rFonts w:ascii="Times New Roman" w:hAnsi="Times New Roman" w:cs="Times New Roman"/>
          <w:sz w:val="24"/>
          <w:szCs w:val="24"/>
        </w:rPr>
        <w:br/>
        <w:t>постановлением а</w:t>
      </w:r>
      <w:r w:rsidRPr="00F31EBA">
        <w:rPr>
          <w:rFonts w:ascii="Times New Roman" w:hAnsi="Times New Roman" w:cs="Times New Roman"/>
          <w:sz w:val="24"/>
          <w:szCs w:val="24"/>
        </w:rPr>
        <w:t>дминистрац</w:t>
      </w:r>
      <w:r>
        <w:rPr>
          <w:rFonts w:ascii="Times New Roman" w:hAnsi="Times New Roman" w:cs="Times New Roman"/>
          <w:sz w:val="24"/>
          <w:szCs w:val="24"/>
        </w:rPr>
        <w:t>ии Газимуро-Заводского муниципального округа</w:t>
      </w:r>
      <w:proofErr w:type="gramEnd"/>
    </w:p>
    <w:p w:rsidR="00D94EDF" w:rsidRPr="00F31EBA" w:rsidRDefault="00D94EDF" w:rsidP="00D94EDF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 апреля 2024 года №242</w:t>
      </w:r>
    </w:p>
    <w:p w:rsidR="00D94EDF" w:rsidRDefault="00D94EDF" w:rsidP="00D94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EDF" w:rsidRPr="00D94EDF" w:rsidRDefault="00D94EDF" w:rsidP="00D94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EDF">
        <w:rPr>
          <w:rFonts w:ascii="Times New Roman" w:hAnsi="Times New Roman" w:cs="Times New Roman"/>
          <w:b/>
          <w:sz w:val="28"/>
          <w:szCs w:val="28"/>
        </w:rPr>
        <w:t>Муниципальная программа «Предоставление молодым семьям социальных выплат на приобретение (строительство) жилья и их использования на 2025-2028 годы»</w:t>
      </w:r>
    </w:p>
    <w:p w:rsidR="00D94EDF" w:rsidRDefault="00D94EDF" w:rsidP="00D94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EDF" w:rsidRDefault="00D94EDF" w:rsidP="00D94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987">
        <w:rPr>
          <w:rFonts w:ascii="Times New Roman" w:hAnsi="Times New Roman" w:cs="Times New Roman"/>
          <w:b/>
          <w:sz w:val="24"/>
          <w:szCs w:val="24"/>
        </w:rPr>
        <w:t>Раздел 1. ПАСПОРТ ПРОГРАММЫ</w:t>
      </w:r>
    </w:p>
    <w:p w:rsidR="00D94EDF" w:rsidRDefault="00D94EDF" w:rsidP="00D94EDF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  <w:r w:rsidRPr="00212087">
        <w:rPr>
          <w:rFonts w:ascii="Times New Roman" w:hAnsi="Times New Roman" w:cs="Times New Roman"/>
          <w:sz w:val="24"/>
          <w:szCs w:val="24"/>
        </w:rPr>
        <w:t>Предоставление молодым семьям социальных выплат на приобретение (строительство) жилья и их использования</w:t>
      </w:r>
      <w:r w:rsidRPr="00212087">
        <w:rPr>
          <w:rFonts w:ascii="Times New Roman" w:hAnsi="Times New Roman" w:cs="Times New Roman"/>
          <w:spacing w:val="2"/>
          <w:sz w:val="24"/>
          <w:szCs w:val="24"/>
        </w:rPr>
        <w:t xml:space="preserve">  на 202</w:t>
      </w:r>
      <w:r>
        <w:rPr>
          <w:rFonts w:ascii="Times New Roman" w:hAnsi="Times New Roman" w:cs="Times New Roman"/>
          <w:spacing w:val="2"/>
          <w:sz w:val="24"/>
          <w:szCs w:val="24"/>
        </w:rPr>
        <w:t>5</w:t>
      </w:r>
      <w:r w:rsidRPr="00212087">
        <w:rPr>
          <w:rFonts w:ascii="Times New Roman" w:hAnsi="Times New Roman" w:cs="Times New Roman"/>
          <w:spacing w:val="2"/>
          <w:sz w:val="24"/>
          <w:szCs w:val="24"/>
        </w:rPr>
        <w:t>-202</w:t>
      </w:r>
      <w:r>
        <w:rPr>
          <w:rFonts w:ascii="Times New Roman" w:hAnsi="Times New Roman" w:cs="Times New Roman"/>
          <w:spacing w:val="2"/>
          <w:sz w:val="24"/>
          <w:szCs w:val="24"/>
        </w:rPr>
        <w:t>8</w:t>
      </w:r>
      <w:r w:rsidRPr="00212087">
        <w:rPr>
          <w:rFonts w:ascii="Times New Roman" w:hAnsi="Times New Roman" w:cs="Times New Roman"/>
          <w:spacing w:val="2"/>
          <w:sz w:val="24"/>
          <w:szCs w:val="24"/>
        </w:rPr>
        <w:t xml:space="preserve"> годы</w:t>
      </w:r>
    </w:p>
    <w:p w:rsidR="00D94EDF" w:rsidRDefault="00D94EDF" w:rsidP="00D94EDF">
      <w:pPr>
        <w:spacing w:after="0" w:line="240" w:lineRule="auto"/>
        <w:jc w:val="center"/>
        <w:rPr>
          <w:rFonts w:ascii="Times New Roman" w:hAnsi="Times New Roman" w:cs="Times New Roman"/>
          <w:spacing w:val="2"/>
          <w:sz w:val="24"/>
          <w:szCs w:val="24"/>
        </w:rPr>
      </w:pPr>
    </w:p>
    <w:tbl>
      <w:tblPr>
        <w:tblW w:w="0" w:type="auto"/>
        <w:tblInd w:w="-418" w:type="dxa"/>
        <w:tblCellMar>
          <w:left w:w="0" w:type="dxa"/>
          <w:right w:w="0" w:type="dxa"/>
        </w:tblCellMar>
        <w:tblLook w:val="04A0"/>
      </w:tblPr>
      <w:tblGrid>
        <w:gridCol w:w="3402"/>
        <w:gridCol w:w="2733"/>
        <w:gridCol w:w="1802"/>
        <w:gridCol w:w="1984"/>
      </w:tblGrid>
      <w:tr w:rsidR="00D94EDF" w:rsidRPr="007A14E1" w:rsidTr="00D94ED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A14E1" w:rsidRDefault="00D94EDF" w:rsidP="00D94ED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4E1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A40B24" w:rsidRDefault="00D94EDF" w:rsidP="00D94E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24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социальных выплат на приобретение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0B24">
              <w:rPr>
                <w:rFonts w:ascii="Times New Roman" w:hAnsi="Times New Roman" w:cs="Times New Roman"/>
                <w:sz w:val="24"/>
                <w:szCs w:val="24"/>
              </w:rPr>
              <w:t>(строительство) жилья и их использования</w:t>
            </w:r>
          </w:p>
        </w:tc>
      </w:tr>
      <w:tr w:rsidR="00D94EDF" w:rsidRPr="007A14E1" w:rsidTr="00D94ED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A14E1" w:rsidRDefault="00D94EDF" w:rsidP="00D94ED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4E1">
              <w:rPr>
                <w:rFonts w:ascii="Times New Roman" w:hAnsi="Times New Roman" w:cs="Times New Roman"/>
                <w:sz w:val="24"/>
                <w:szCs w:val="24"/>
              </w:rPr>
              <w:t>Разработчик муниципальной программы</w:t>
            </w: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A40B24" w:rsidRDefault="00D94EDF" w:rsidP="00D94E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24">
              <w:rPr>
                <w:rFonts w:ascii="Times New Roman" w:hAnsi="Times New Roman" w:cs="Times New Roman"/>
                <w:sz w:val="24"/>
                <w:szCs w:val="24"/>
              </w:rPr>
              <w:t>Отдел архитектуры, строительства, инвестиционной политики и жилищно-коммунального хозяйства</w:t>
            </w:r>
          </w:p>
        </w:tc>
      </w:tr>
      <w:tr w:rsidR="00D94EDF" w:rsidRPr="007A14E1" w:rsidTr="00D94ED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A14E1" w:rsidRDefault="00D94EDF" w:rsidP="00D94ED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4E1">
              <w:rPr>
                <w:rFonts w:ascii="Times New Roman" w:hAnsi="Times New Roman" w:cs="Times New Roman"/>
                <w:sz w:val="24"/>
                <w:szCs w:val="24"/>
              </w:rPr>
              <w:t>Исполнители мероприятий муниципальной программы</w:t>
            </w: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A40B24" w:rsidRDefault="00D94EDF" w:rsidP="00D94E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24">
              <w:rPr>
                <w:rFonts w:ascii="Times New Roman" w:hAnsi="Times New Roman" w:cs="Times New Roman"/>
                <w:sz w:val="24"/>
                <w:szCs w:val="24"/>
              </w:rPr>
              <w:t>- Министерство строительства, дорожного хозяйства и транспорта Забайкальского края;</w:t>
            </w:r>
          </w:p>
          <w:p w:rsidR="00D94EDF" w:rsidRPr="00A40B24" w:rsidRDefault="00D94EDF" w:rsidP="00D94E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B24">
              <w:rPr>
                <w:rFonts w:ascii="Times New Roman" w:hAnsi="Times New Roman" w:cs="Times New Roman"/>
                <w:sz w:val="24"/>
                <w:szCs w:val="24"/>
              </w:rPr>
              <w:t>-органы местного самоуправления.</w:t>
            </w:r>
          </w:p>
        </w:tc>
      </w:tr>
      <w:tr w:rsidR="00D94EDF" w:rsidRPr="007A14E1" w:rsidTr="00D94ED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A14E1" w:rsidRDefault="00D94EDF" w:rsidP="00D94ED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4E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Default="00D94EDF" w:rsidP="00D94E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-о</w:t>
            </w:r>
            <w:r w:rsidRPr="00A40B2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беспечение решения жилищной проблемы молодых семей, признанных нуждающимися в улучшении жилищных условий в установленном порядке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D94EDF" w:rsidRPr="00EC3568" w:rsidRDefault="00D94EDF" w:rsidP="00D94E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-повышение уровня обеспеченности жильем молодых семей;</w:t>
            </w:r>
          </w:p>
        </w:tc>
      </w:tr>
      <w:tr w:rsidR="00D94EDF" w:rsidRPr="007A14E1" w:rsidTr="00D94ED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A14E1" w:rsidRDefault="00D94EDF" w:rsidP="00D94ED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4E1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A40B24" w:rsidRDefault="00D94EDF" w:rsidP="00D94EDF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</w:rPr>
            </w:pPr>
            <w:r w:rsidRPr="00A40B24">
              <w:rPr>
                <w:color w:val="22272F"/>
              </w:rPr>
              <w:t>-обеспечение предоставления молодым семьям социальных выплат на приобретение жилья или строительство индивидуального жилого дома;</w:t>
            </w:r>
          </w:p>
          <w:p w:rsidR="00D94EDF" w:rsidRPr="00A40B24" w:rsidRDefault="00D94EDF" w:rsidP="00D94EDF">
            <w:pPr>
              <w:pStyle w:val="s16"/>
              <w:shd w:val="clear" w:color="auto" w:fill="FFFFFF"/>
              <w:spacing w:before="0" w:beforeAutospacing="0" w:after="0" w:afterAutospacing="0"/>
              <w:jc w:val="center"/>
              <w:rPr>
                <w:color w:val="22272F"/>
              </w:rPr>
            </w:pPr>
            <w:r w:rsidRPr="00A40B24">
              <w:rPr>
                <w:color w:val="22272F"/>
              </w:rPr>
              <w:t>-создание условий для привлечения молодыми семьями собственных средств, финансовых средств банков и других организаций, предоставляющих ипотечные жилищные кредиты и займы, для приобретения жилья или строительства индивидуального жилого дома.</w:t>
            </w:r>
          </w:p>
        </w:tc>
      </w:tr>
      <w:tr w:rsidR="00D94EDF" w:rsidRPr="007A14E1" w:rsidTr="00D94ED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164F56" w:rsidRDefault="00D94EDF" w:rsidP="00D94ED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64F56">
              <w:rPr>
                <w:rFonts w:ascii="Times New Roman" w:hAnsi="Times New Roman" w:cs="Times New Roman"/>
                <w:sz w:val="24"/>
                <w:szCs w:val="24"/>
              </w:rPr>
              <w:t>Срок реализации муниципальной программы</w:t>
            </w: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164F56" w:rsidRDefault="00D94EDF" w:rsidP="00D94EDF">
            <w:pPr>
              <w:widowControl w:val="0"/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5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64F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2028 гг.</w:t>
            </w:r>
          </w:p>
        </w:tc>
      </w:tr>
      <w:tr w:rsidR="00D94EDF" w:rsidRPr="007A14E1" w:rsidTr="00D94ED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164F56" w:rsidRDefault="00D94EDF" w:rsidP="00D94ED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64F56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2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Default="00D94EDF" w:rsidP="00D94E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бюджета;</w:t>
            </w:r>
          </w:p>
          <w:p w:rsidR="00D94EDF" w:rsidRDefault="00D94EDF" w:rsidP="00D94E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т.ч. по годам:</w:t>
            </w:r>
          </w:p>
          <w:p w:rsidR="00D94EDF" w:rsidRDefault="00D94EDF" w:rsidP="00D94E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2025- 1181,0</w:t>
            </w:r>
          </w:p>
          <w:p w:rsidR="00D94EDF" w:rsidRDefault="00D94EDF" w:rsidP="00D94E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2026- 1439,0</w:t>
            </w:r>
          </w:p>
          <w:p w:rsidR="00D94EDF" w:rsidRDefault="00D94EDF" w:rsidP="00D94E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2027-1439,0</w:t>
            </w:r>
          </w:p>
          <w:p w:rsidR="00D94EDF" w:rsidRDefault="00D94EDF" w:rsidP="00D94E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– 1439,0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EDF" w:rsidRDefault="00D94EDF" w:rsidP="00D94E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Забайкальского края;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всего, в т.ч. по годам:</w:t>
            </w:r>
          </w:p>
          <w:p w:rsidR="00D94EDF" w:rsidRDefault="00D94EDF" w:rsidP="00D94E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2025-548,0</w:t>
            </w:r>
          </w:p>
          <w:p w:rsidR="00D94EDF" w:rsidRDefault="00D94EDF" w:rsidP="00D94E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2026-670,0</w:t>
            </w:r>
          </w:p>
          <w:p w:rsidR="00D94EDF" w:rsidRDefault="00D94EDF" w:rsidP="00D94E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2027-670,0</w:t>
            </w:r>
          </w:p>
          <w:p w:rsidR="00D94EDF" w:rsidRDefault="00D94EDF" w:rsidP="00D94E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2028 -670,0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EDF" w:rsidRDefault="00D94EDF" w:rsidP="00D94E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Газимуро-Заводского муниципального округа;</w:t>
            </w:r>
          </w:p>
          <w:p w:rsidR="00D94EDF" w:rsidRDefault="00D94EDF" w:rsidP="00D94E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  <w:p w:rsidR="00D94EDF" w:rsidRDefault="00D94EDF" w:rsidP="00D94E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2025-315,0</w:t>
            </w:r>
          </w:p>
          <w:p w:rsidR="00D94EDF" w:rsidRDefault="00D94EDF" w:rsidP="00D94E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2026-372,0</w:t>
            </w:r>
          </w:p>
          <w:p w:rsidR="00D94EDF" w:rsidRDefault="00D94EDF" w:rsidP="00D94E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2027-372,0</w:t>
            </w:r>
          </w:p>
          <w:p w:rsidR="00D94EDF" w:rsidRPr="00164F56" w:rsidRDefault="00D94EDF" w:rsidP="00D94E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2028 -372,0</w:t>
            </w:r>
          </w:p>
        </w:tc>
      </w:tr>
      <w:tr w:rsidR="00D94EDF" w:rsidRPr="007A14E1" w:rsidTr="00D94EDF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164F56" w:rsidRDefault="00D94EDF" w:rsidP="00D94EDF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64F56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6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164F56" w:rsidRDefault="00D94EDF" w:rsidP="00D94EDF">
            <w:pPr>
              <w:widowControl w:val="0"/>
              <w:spacing w:after="0" w:line="240" w:lineRule="auto"/>
              <w:ind w:hanging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F56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 молодых семей, признанных нуждающимися</w:t>
            </w:r>
            <w:proofErr w:type="gramStart"/>
            <w:r w:rsidRPr="00164F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F430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F430F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доля семей,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беспеченных жильем в 2025 г.- 40%, 2026- 40%, 2027-4</w:t>
            </w:r>
            <w:r w:rsidRPr="00BF430F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2028 – 40%</w:t>
            </w:r>
          </w:p>
        </w:tc>
      </w:tr>
    </w:tbl>
    <w:p w:rsidR="00D94EDF" w:rsidRDefault="00D94EDF" w:rsidP="00D94EDF">
      <w:pPr>
        <w:rPr>
          <w:rFonts w:ascii="Times New Roman" w:hAnsi="Times New Roman" w:cs="Times New Roman"/>
          <w:sz w:val="28"/>
          <w:szCs w:val="28"/>
        </w:rPr>
      </w:pPr>
    </w:p>
    <w:p w:rsidR="00D94EDF" w:rsidRPr="001E5E9A" w:rsidRDefault="00D94EDF" w:rsidP="00D94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E9A">
        <w:rPr>
          <w:rFonts w:ascii="Times New Roman" w:hAnsi="Times New Roman" w:cs="Times New Roman"/>
          <w:b/>
          <w:sz w:val="24"/>
          <w:szCs w:val="24"/>
        </w:rPr>
        <w:t>Раздел 2. Характеристика текущего состояния сферы реализации муниципальной программы</w:t>
      </w:r>
    </w:p>
    <w:p w:rsidR="00D94EDF" w:rsidRPr="001E5E9A" w:rsidRDefault="00D94EDF" w:rsidP="00D94ED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E5E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Предоставление субсидий молодым семьям</w:t>
      </w:r>
      <w:r w:rsidRPr="001E5E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softHyphen/>
        <w:t xml:space="preserve">, признанных нуждающимися – одно из ключевых условий реализации государственной поддержки семьи в соответствии с п. 2 ст. 7 Конституции Российской Федерации.  </w:t>
      </w:r>
    </w:p>
    <w:p w:rsidR="00D94EDF" w:rsidRDefault="00D94EDF" w:rsidP="00D94ED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E5E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Как правило, данные мероприятия позволяют улучшить жилищные условия, т.к. молодые семьи в большинстве не могут получить доступ на рынок жилья без государственной поддержки. Даже при достаточном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уровне</w:t>
      </w:r>
      <w:r w:rsidRPr="001E5E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дохода для получения ипотечного жилищного кредита, зачастую невозможно уплатить первоначальный взнос при получении кредита. Молодые семьи, в основном, являются приобретателями первого в своей жизни жилья, а значит, не имеют в собственности жилого помещения, которое можно было бы использовать в качестве обеспечения уплаты первоначального взноса при получении ипотечного жилищного кредита или займа. Как правило, молодые семьи не имеют возможности накопить на эти цели необходимые средства. </w:t>
      </w:r>
    </w:p>
    <w:p w:rsidR="00D94EDF" w:rsidRPr="001E5E9A" w:rsidRDefault="00D94EDF" w:rsidP="00D94ED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E5E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Поддержка нуждающихся молодых семей посредством предоставления субсидий будет способствовать не только улучшению жилищных условия, но повышению демографических показателей, снижению оттока населения на территории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Газимуро-Заводского муниципального округа</w:t>
      </w:r>
      <w:r w:rsidRPr="001E5E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</w:p>
    <w:p w:rsidR="00D94EDF" w:rsidRPr="001E5E9A" w:rsidRDefault="00D94EDF" w:rsidP="00D94ED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1E5E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Государственная поддержка в предоставлении средств на уплату первоначального взноса при получении ипотечных жилищных кредитов или займов будет являться хорошим стимулом дальнейшего профессионального роста</w:t>
      </w:r>
      <w:r w:rsidRPr="001E5E9A">
        <w:rPr>
          <w:rFonts w:ascii="Arial" w:hAnsi="Arial" w:cs="Arial"/>
          <w:spacing w:val="2"/>
          <w:sz w:val="24"/>
          <w:szCs w:val="24"/>
          <w:shd w:val="clear" w:color="auto" w:fill="FFFFFF"/>
        </w:rPr>
        <w:t xml:space="preserve"> </w:t>
      </w:r>
      <w:r w:rsidRPr="001E5E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для молодых семей.</w:t>
      </w:r>
    </w:p>
    <w:p w:rsidR="00D94EDF" w:rsidRDefault="00D94EDF" w:rsidP="00D94E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Ввиду данных условий, целесообразно </w:t>
      </w:r>
      <w:r w:rsidRPr="001E5E9A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использование комплексного подхода в реализации мероприятий по предоставлению субсидий молодым семьям, признанным нуждающимися.  </w:t>
      </w:r>
      <w:r w:rsidRPr="001E5E9A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Реализация данной муниципальной программы не только позволит обеспечить жильем молодых семей, но и  окажет существенное влияние на рост социально-экономического развития на территории 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</w:rPr>
        <w:t>Газимуро-Заводского муниципального округа</w:t>
      </w:r>
      <w:r w:rsidRPr="001E5E9A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. </w:t>
      </w:r>
    </w:p>
    <w:p w:rsidR="00D94EDF" w:rsidRPr="001E5E9A" w:rsidRDefault="00D94EDF" w:rsidP="00D94ED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D94EDF" w:rsidRDefault="00D94EDF" w:rsidP="00D94EDF">
      <w:pPr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 w:rsidRPr="001E5E9A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Раздел 3. Перечень мероприятий программы</w:t>
      </w:r>
    </w:p>
    <w:p w:rsidR="00D94EDF" w:rsidRDefault="00D94EDF" w:rsidP="00D94EDF">
      <w:pPr>
        <w:spacing w:after="0" w:line="36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tbl>
      <w:tblPr>
        <w:tblStyle w:val="a5"/>
        <w:tblW w:w="10632" w:type="dxa"/>
        <w:tblInd w:w="-885" w:type="dxa"/>
        <w:tblLayout w:type="fixed"/>
        <w:tblLook w:val="04A0"/>
      </w:tblPr>
      <w:tblGrid>
        <w:gridCol w:w="567"/>
        <w:gridCol w:w="1986"/>
        <w:gridCol w:w="1559"/>
        <w:gridCol w:w="2268"/>
        <w:gridCol w:w="1134"/>
        <w:gridCol w:w="992"/>
        <w:gridCol w:w="1211"/>
        <w:gridCol w:w="915"/>
      </w:tblGrid>
      <w:tr w:rsidR="00D94EDF" w:rsidTr="00B572F3">
        <w:trPr>
          <w:trHeight w:val="278"/>
        </w:trPr>
        <w:tc>
          <w:tcPr>
            <w:tcW w:w="567" w:type="dxa"/>
            <w:vMerge w:val="restart"/>
          </w:tcPr>
          <w:p w:rsidR="00D94EDF" w:rsidRDefault="00D94EDF" w:rsidP="00B572F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17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№</w:t>
            </w:r>
          </w:p>
          <w:p w:rsidR="00D94EDF" w:rsidRPr="001217B4" w:rsidRDefault="00D94EDF" w:rsidP="00B572F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proofErr w:type="spellStart"/>
            <w:proofErr w:type="gramStart"/>
            <w:r w:rsidRPr="001217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001217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/</w:t>
            </w:r>
            <w:proofErr w:type="spellStart"/>
            <w:r w:rsidRPr="001217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</w:t>
            </w:r>
            <w:proofErr w:type="spellEnd"/>
          </w:p>
        </w:tc>
        <w:tc>
          <w:tcPr>
            <w:tcW w:w="1986" w:type="dxa"/>
            <w:vMerge w:val="restart"/>
          </w:tcPr>
          <w:p w:rsidR="00D94EDF" w:rsidRPr="001217B4" w:rsidRDefault="00D94EDF" w:rsidP="00B572F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17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Раздел </w:t>
            </w:r>
          </w:p>
        </w:tc>
        <w:tc>
          <w:tcPr>
            <w:tcW w:w="1559" w:type="dxa"/>
            <w:vMerge w:val="restart"/>
          </w:tcPr>
          <w:p w:rsidR="00D94EDF" w:rsidRPr="001217B4" w:rsidRDefault="00D94EDF" w:rsidP="00B572F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17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Срок исполнения</w:t>
            </w:r>
          </w:p>
        </w:tc>
        <w:tc>
          <w:tcPr>
            <w:tcW w:w="2268" w:type="dxa"/>
            <w:vMerge w:val="restart"/>
          </w:tcPr>
          <w:p w:rsidR="00D94EDF" w:rsidRPr="001217B4" w:rsidRDefault="00D94EDF" w:rsidP="00B572F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17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Источник финансирования</w:t>
            </w:r>
          </w:p>
        </w:tc>
        <w:tc>
          <w:tcPr>
            <w:tcW w:w="4252" w:type="dxa"/>
            <w:gridSpan w:val="4"/>
          </w:tcPr>
          <w:p w:rsidR="00D94EDF" w:rsidRPr="001217B4" w:rsidRDefault="00D94EDF" w:rsidP="00B572F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Потребность в финансировании (тыс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уб.)</w:t>
            </w:r>
          </w:p>
        </w:tc>
      </w:tr>
      <w:tr w:rsidR="00D94EDF" w:rsidTr="00B572F3">
        <w:trPr>
          <w:trHeight w:val="277"/>
        </w:trPr>
        <w:tc>
          <w:tcPr>
            <w:tcW w:w="567" w:type="dxa"/>
            <w:vMerge/>
          </w:tcPr>
          <w:p w:rsidR="00D94EDF" w:rsidRPr="001217B4" w:rsidRDefault="00D94EDF" w:rsidP="00B572F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6" w:type="dxa"/>
            <w:vMerge/>
          </w:tcPr>
          <w:p w:rsidR="00D94EDF" w:rsidRPr="001217B4" w:rsidRDefault="00D94EDF" w:rsidP="00B572F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Merge/>
          </w:tcPr>
          <w:p w:rsidR="00D94EDF" w:rsidRPr="001217B4" w:rsidRDefault="00D94EDF" w:rsidP="00B572F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/>
          </w:tcPr>
          <w:p w:rsidR="00D94EDF" w:rsidRPr="001217B4" w:rsidRDefault="00D94EDF" w:rsidP="00B572F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D94EDF" w:rsidRPr="001217B4" w:rsidRDefault="00D94EDF" w:rsidP="00B572F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992" w:type="dxa"/>
          </w:tcPr>
          <w:p w:rsidR="00D94EDF" w:rsidRPr="001217B4" w:rsidRDefault="00D94EDF" w:rsidP="00B572F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17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1211" w:type="dxa"/>
          </w:tcPr>
          <w:p w:rsidR="00D94EDF" w:rsidRPr="001217B4" w:rsidRDefault="00D94EDF" w:rsidP="00B572F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17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915" w:type="dxa"/>
          </w:tcPr>
          <w:p w:rsidR="00D94EDF" w:rsidRPr="001217B4" w:rsidRDefault="00D94EDF" w:rsidP="00B572F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17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D94EDF" w:rsidTr="00B572F3">
        <w:tc>
          <w:tcPr>
            <w:tcW w:w="567" w:type="dxa"/>
          </w:tcPr>
          <w:p w:rsidR="00D94EDF" w:rsidRPr="001217B4" w:rsidRDefault="00D94EDF" w:rsidP="00B572F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17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86" w:type="dxa"/>
          </w:tcPr>
          <w:p w:rsidR="00D94EDF" w:rsidRPr="001217B4" w:rsidRDefault="00D94EDF" w:rsidP="00B572F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17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Предоставление субсидий молодым семьям для строительства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Pr="001217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(приобретения) жилья</w:t>
            </w:r>
          </w:p>
        </w:tc>
        <w:tc>
          <w:tcPr>
            <w:tcW w:w="1559" w:type="dxa"/>
          </w:tcPr>
          <w:p w:rsidR="00D94EDF" w:rsidRPr="001217B4" w:rsidRDefault="00D94EDF" w:rsidP="00B572F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17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ежегодно</w:t>
            </w:r>
          </w:p>
        </w:tc>
        <w:tc>
          <w:tcPr>
            <w:tcW w:w="2268" w:type="dxa"/>
          </w:tcPr>
          <w:p w:rsidR="00D94EDF" w:rsidRDefault="00D94EDF" w:rsidP="00B572F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средства Федерального бюджета;</w:t>
            </w:r>
          </w:p>
          <w:p w:rsidR="00D94EDF" w:rsidRPr="001217B4" w:rsidRDefault="00D94EDF" w:rsidP="00B572F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средства бюджета Забайкальского края</w:t>
            </w:r>
            <w:r w:rsidRPr="001217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D94EDF" w:rsidRPr="001217B4" w:rsidRDefault="00D94EDF" w:rsidP="00B572F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средства бюджета </w:t>
            </w:r>
            <w:r w:rsidRPr="001217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муниципального района «Газимуро-Заводский район»</w:t>
            </w:r>
          </w:p>
        </w:tc>
        <w:tc>
          <w:tcPr>
            <w:tcW w:w="1134" w:type="dxa"/>
          </w:tcPr>
          <w:p w:rsidR="00D94EDF" w:rsidRDefault="00D94EDF" w:rsidP="00B572F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1 022,0</w:t>
            </w:r>
          </w:p>
        </w:tc>
        <w:tc>
          <w:tcPr>
            <w:tcW w:w="992" w:type="dxa"/>
          </w:tcPr>
          <w:p w:rsidR="00D94EDF" w:rsidRPr="001217B4" w:rsidRDefault="00D94EDF" w:rsidP="00B572F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1 022,0</w:t>
            </w:r>
          </w:p>
        </w:tc>
        <w:tc>
          <w:tcPr>
            <w:tcW w:w="1211" w:type="dxa"/>
          </w:tcPr>
          <w:p w:rsidR="00D94EDF" w:rsidRPr="001217B4" w:rsidRDefault="00D94EDF" w:rsidP="00B572F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1022,0</w:t>
            </w:r>
          </w:p>
        </w:tc>
        <w:tc>
          <w:tcPr>
            <w:tcW w:w="915" w:type="dxa"/>
          </w:tcPr>
          <w:p w:rsidR="00D94EDF" w:rsidRPr="001217B4" w:rsidRDefault="00D94EDF" w:rsidP="00B572F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1022,0</w:t>
            </w:r>
          </w:p>
        </w:tc>
      </w:tr>
      <w:tr w:rsidR="00D94EDF" w:rsidTr="00B572F3">
        <w:tc>
          <w:tcPr>
            <w:tcW w:w="567" w:type="dxa"/>
          </w:tcPr>
          <w:p w:rsidR="00D94EDF" w:rsidRPr="001217B4" w:rsidRDefault="00D94EDF" w:rsidP="00B572F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1217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86" w:type="dxa"/>
          </w:tcPr>
          <w:p w:rsidR="00D94EDF" w:rsidRPr="001217B4" w:rsidRDefault="00D94EDF" w:rsidP="00B572F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Предоставление субсидий молодым семьям для погашения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первоначального взноса по ипотечным жилищным кредитам и займам</w:t>
            </w:r>
          </w:p>
        </w:tc>
        <w:tc>
          <w:tcPr>
            <w:tcW w:w="1559" w:type="dxa"/>
          </w:tcPr>
          <w:p w:rsidR="00D94EDF" w:rsidRPr="001217B4" w:rsidRDefault="00D94EDF" w:rsidP="00B572F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ежегодно</w:t>
            </w:r>
          </w:p>
        </w:tc>
        <w:tc>
          <w:tcPr>
            <w:tcW w:w="2268" w:type="dxa"/>
          </w:tcPr>
          <w:p w:rsidR="00D94EDF" w:rsidRDefault="00D94EDF" w:rsidP="00B572F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средства Федерального бюджета;</w:t>
            </w:r>
          </w:p>
          <w:p w:rsidR="00D94EDF" w:rsidRPr="001217B4" w:rsidRDefault="00D94EDF" w:rsidP="00B572F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средства бюджета Забайкальского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края</w:t>
            </w:r>
            <w:r w:rsidRPr="001217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D94EDF" w:rsidRPr="001217B4" w:rsidRDefault="00D94EDF" w:rsidP="00B572F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средства бюджета </w:t>
            </w:r>
            <w:r w:rsidRPr="001217B4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муниципального района «Газимуро-Заводский район»</w:t>
            </w:r>
          </w:p>
        </w:tc>
        <w:tc>
          <w:tcPr>
            <w:tcW w:w="1134" w:type="dxa"/>
          </w:tcPr>
          <w:p w:rsidR="00D94EDF" w:rsidRDefault="00D94EDF" w:rsidP="00B572F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1 022,0</w:t>
            </w:r>
          </w:p>
        </w:tc>
        <w:tc>
          <w:tcPr>
            <w:tcW w:w="992" w:type="dxa"/>
          </w:tcPr>
          <w:p w:rsidR="00D94EDF" w:rsidRPr="001217B4" w:rsidRDefault="00D94EDF" w:rsidP="00B572F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1 459,0</w:t>
            </w:r>
          </w:p>
        </w:tc>
        <w:tc>
          <w:tcPr>
            <w:tcW w:w="1211" w:type="dxa"/>
          </w:tcPr>
          <w:p w:rsidR="00D94EDF" w:rsidRPr="001217B4" w:rsidRDefault="00D94EDF" w:rsidP="00B572F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1 459,0</w:t>
            </w:r>
          </w:p>
        </w:tc>
        <w:tc>
          <w:tcPr>
            <w:tcW w:w="915" w:type="dxa"/>
          </w:tcPr>
          <w:p w:rsidR="00D94EDF" w:rsidRPr="001217B4" w:rsidRDefault="00D94EDF" w:rsidP="00B572F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1459,0</w:t>
            </w:r>
          </w:p>
        </w:tc>
      </w:tr>
      <w:tr w:rsidR="00D94EDF" w:rsidTr="00B572F3">
        <w:tc>
          <w:tcPr>
            <w:tcW w:w="2553" w:type="dxa"/>
            <w:gridSpan w:val="2"/>
          </w:tcPr>
          <w:p w:rsidR="00D94EDF" w:rsidRPr="00E26987" w:rsidRDefault="00D94EDF" w:rsidP="00B572F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 w:rsidRPr="00E26987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lastRenderedPageBreak/>
              <w:t>Итого:</w:t>
            </w:r>
          </w:p>
        </w:tc>
        <w:tc>
          <w:tcPr>
            <w:tcW w:w="8079" w:type="dxa"/>
            <w:gridSpan w:val="6"/>
          </w:tcPr>
          <w:p w:rsidR="00D94EDF" w:rsidRPr="00496E26" w:rsidRDefault="00D94EDF" w:rsidP="00B572F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9 487,0</w:t>
            </w:r>
          </w:p>
        </w:tc>
      </w:tr>
    </w:tbl>
    <w:p w:rsidR="00D94EDF" w:rsidRDefault="00D94EDF" w:rsidP="00D94EDF">
      <w:pPr>
        <w:spacing w:after="0" w:line="360" w:lineRule="auto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D94EDF" w:rsidRDefault="00D94EDF" w:rsidP="00D94ED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Раздел 4. Ресурсное обеспечение муниципальной программы</w:t>
      </w:r>
    </w:p>
    <w:p w:rsidR="00D94EDF" w:rsidRDefault="00D94EDF" w:rsidP="00D94ED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D94EDF" w:rsidRDefault="00D94EDF" w:rsidP="00D9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Финансирование мероприятий муниципальной программы </w:t>
      </w:r>
      <w:r w:rsidRPr="00075B5D">
        <w:rPr>
          <w:rFonts w:ascii="Times New Roman" w:hAnsi="Times New Roman" w:cs="Times New Roman"/>
          <w:sz w:val="24"/>
          <w:szCs w:val="24"/>
        </w:rPr>
        <w:t>планируется осуществлять за счет</w:t>
      </w:r>
      <w:r>
        <w:rPr>
          <w:rFonts w:ascii="Times New Roman" w:hAnsi="Times New Roman" w:cs="Times New Roman"/>
          <w:sz w:val="24"/>
          <w:szCs w:val="24"/>
        </w:rPr>
        <w:t xml:space="preserve"> регионального бюджета с привлечением средств федерального бюджета и бюджета Газимуро-Заводского муниципального округа.</w:t>
      </w:r>
    </w:p>
    <w:p w:rsidR="00D94EDF" w:rsidRPr="00075B5D" w:rsidRDefault="00D94EDF" w:rsidP="00D94E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84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92"/>
        <w:gridCol w:w="2963"/>
        <w:gridCol w:w="1134"/>
        <w:gridCol w:w="1134"/>
        <w:gridCol w:w="1275"/>
        <w:gridCol w:w="1276"/>
      </w:tblGrid>
      <w:tr w:rsidR="00D94EDF" w:rsidRPr="007A14E1" w:rsidTr="00B572F3"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A14E1" w:rsidRDefault="00D94EDF" w:rsidP="00B572F3">
            <w:pPr>
              <w:widowControl w:val="0"/>
              <w:spacing w:after="0" w:line="240" w:lineRule="auto"/>
              <w:ind w:right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4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A14E1" w:rsidRDefault="00D94EDF" w:rsidP="00B572F3">
            <w:pPr>
              <w:widowControl w:val="0"/>
              <w:spacing w:after="0" w:line="240" w:lineRule="auto"/>
              <w:ind w:right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4E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4EDF" w:rsidRPr="007A14E1" w:rsidRDefault="00D94EDF" w:rsidP="00B572F3">
            <w:pPr>
              <w:widowControl w:val="0"/>
              <w:spacing w:after="0" w:line="240" w:lineRule="auto"/>
              <w:ind w:right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4E1">
              <w:rPr>
                <w:rFonts w:ascii="Times New Roman" w:hAnsi="Times New Roman" w:cs="Times New Roman"/>
                <w:sz w:val="24"/>
                <w:szCs w:val="24"/>
              </w:rPr>
              <w:t>Объем финансовых ресурсов, тыс. рублей</w:t>
            </w:r>
          </w:p>
        </w:tc>
      </w:tr>
      <w:tr w:rsidR="00D94EDF" w:rsidRPr="007A14E1" w:rsidTr="00B572F3">
        <w:tc>
          <w:tcPr>
            <w:tcW w:w="2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A14E1" w:rsidRDefault="00D94EDF" w:rsidP="00B572F3">
            <w:pPr>
              <w:widowControl w:val="0"/>
              <w:spacing w:after="0" w:line="240" w:lineRule="auto"/>
              <w:ind w:right="7"/>
              <w:rPr>
                <w:rFonts w:cs="Times New Roman"/>
              </w:rPr>
            </w:pPr>
          </w:p>
        </w:tc>
        <w:tc>
          <w:tcPr>
            <w:tcW w:w="2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A14E1" w:rsidRDefault="00D94EDF" w:rsidP="00B572F3">
            <w:pPr>
              <w:widowControl w:val="0"/>
              <w:spacing w:after="0" w:line="240" w:lineRule="auto"/>
              <w:ind w:right="7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4EDF" w:rsidRDefault="00D94EDF" w:rsidP="00B572F3">
            <w:pPr>
              <w:widowControl w:val="0"/>
              <w:spacing w:after="0" w:line="240" w:lineRule="auto"/>
              <w:ind w:right="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A14E1" w:rsidRDefault="00D94EDF" w:rsidP="00B572F3">
            <w:pPr>
              <w:widowControl w:val="0"/>
              <w:spacing w:after="0" w:line="240" w:lineRule="auto"/>
              <w:ind w:right="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A14E1" w:rsidRDefault="00D94EDF" w:rsidP="00B572F3">
            <w:pPr>
              <w:widowControl w:val="0"/>
              <w:spacing w:after="0" w:line="240" w:lineRule="auto"/>
              <w:ind w:right="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A14E1" w:rsidRDefault="00D94EDF" w:rsidP="00B572F3">
            <w:pPr>
              <w:widowControl w:val="0"/>
              <w:spacing w:after="0" w:line="240" w:lineRule="auto"/>
              <w:ind w:right="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D94EDF" w:rsidRPr="007A14E1" w:rsidTr="00B572F3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A14E1" w:rsidRDefault="00D94EDF" w:rsidP="00B572F3">
            <w:pPr>
              <w:widowControl w:val="0"/>
              <w:spacing w:after="0" w:line="240" w:lineRule="auto"/>
              <w:ind w:right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4E1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«Предоставление молодым семьям социальных выплат на приобретение (строительство) жилья и их использования на 2025-2028 годы»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A14E1" w:rsidRDefault="00D94EDF" w:rsidP="00B572F3">
            <w:pPr>
              <w:widowControl w:val="0"/>
              <w:spacing w:after="0" w:line="240" w:lineRule="auto"/>
              <w:ind w:right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4E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4EDF" w:rsidRPr="00496E26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2 044,0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496E26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2 481,0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496E26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2 481,0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496E26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2 481,0</w:t>
            </w:r>
          </w:p>
        </w:tc>
      </w:tr>
      <w:tr w:rsidR="00D94EDF" w:rsidRPr="007A14E1" w:rsidTr="00B572F3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A14E1" w:rsidRDefault="00D94EDF" w:rsidP="00B572F3">
            <w:pPr>
              <w:widowControl w:val="0"/>
              <w:spacing w:after="0" w:line="240" w:lineRule="auto"/>
              <w:ind w:right="7"/>
              <w:rPr>
                <w:rFonts w:cs="Times New Roman"/>
                <w:lang w:val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A14E1" w:rsidRDefault="00D94EDF" w:rsidP="00B572F3">
            <w:pPr>
              <w:widowControl w:val="0"/>
              <w:spacing w:after="0" w:line="240" w:lineRule="auto"/>
              <w:ind w:right="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4E1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Газимуро-Заводского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372,0</w:t>
            </w:r>
          </w:p>
        </w:tc>
      </w:tr>
      <w:tr w:rsidR="00D94EDF" w:rsidRPr="007A14E1" w:rsidTr="00B572F3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A14E1" w:rsidRDefault="00D94EDF" w:rsidP="00B572F3">
            <w:pPr>
              <w:widowControl w:val="0"/>
              <w:spacing w:after="0" w:line="240" w:lineRule="auto"/>
              <w:ind w:right="7"/>
              <w:rPr>
                <w:rFonts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A14E1" w:rsidRDefault="00D94EDF" w:rsidP="00B572F3">
            <w:pPr>
              <w:widowControl w:val="0"/>
              <w:spacing w:after="0" w:line="240" w:lineRule="auto"/>
              <w:ind w:right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4E1">
              <w:rPr>
                <w:rFonts w:ascii="Times New Roman" w:hAnsi="Times New Roman" w:cs="Times New Roman"/>
                <w:sz w:val="24"/>
                <w:szCs w:val="24"/>
              </w:rPr>
              <w:t>иные не запрещенные законодательством источники *: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A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A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A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D94EDF" w:rsidRPr="007A14E1" w:rsidTr="00B572F3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A14E1" w:rsidRDefault="00D94EDF" w:rsidP="00B572F3">
            <w:pPr>
              <w:widowControl w:val="0"/>
              <w:spacing w:after="0" w:line="240" w:lineRule="auto"/>
              <w:ind w:right="7"/>
              <w:rPr>
                <w:rFonts w:cs="Times New Roman"/>
                <w:lang w:val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A14E1" w:rsidRDefault="00D94EDF" w:rsidP="00B572F3">
            <w:pPr>
              <w:widowControl w:val="0"/>
              <w:spacing w:after="0" w:line="240" w:lineRule="auto"/>
              <w:ind w:right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4E1">
              <w:rPr>
                <w:rFonts w:ascii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4EDF" w:rsidRPr="002478B7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365547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365547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365547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1439,0</w:t>
            </w:r>
          </w:p>
        </w:tc>
      </w:tr>
      <w:tr w:rsidR="00D94EDF" w:rsidRPr="007A14E1" w:rsidTr="00B572F3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A14E1" w:rsidRDefault="00D94EDF" w:rsidP="00B572F3">
            <w:pPr>
              <w:widowControl w:val="0"/>
              <w:spacing w:after="0" w:line="240" w:lineRule="auto"/>
              <w:ind w:right="7"/>
              <w:rPr>
                <w:rFonts w:cs="Times New Roman"/>
                <w:lang w:val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A14E1" w:rsidRDefault="00D94EDF" w:rsidP="00B572F3">
            <w:pPr>
              <w:widowControl w:val="0"/>
              <w:spacing w:after="0" w:line="240" w:lineRule="auto"/>
              <w:ind w:right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4E1">
              <w:rPr>
                <w:rFonts w:ascii="Times New Roman" w:hAnsi="Times New Roman" w:cs="Times New Roman"/>
                <w:sz w:val="24"/>
                <w:szCs w:val="24"/>
              </w:rPr>
              <w:t>Краевой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14E1">
              <w:rPr>
                <w:rFonts w:ascii="Times New Roman" w:hAnsi="Times New Roman" w:cs="Times New Roman"/>
                <w:sz w:val="24"/>
                <w:szCs w:val="24"/>
              </w:rPr>
              <w:t>бюджет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4EDF" w:rsidRPr="002478B7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365547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365547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365547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670,0</w:t>
            </w:r>
          </w:p>
        </w:tc>
      </w:tr>
      <w:tr w:rsidR="00D94EDF" w:rsidRPr="007A14E1" w:rsidTr="00B572F3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A14E1" w:rsidRDefault="00D94EDF" w:rsidP="00B572F3">
            <w:pPr>
              <w:widowControl w:val="0"/>
              <w:spacing w:after="0" w:line="240" w:lineRule="auto"/>
              <w:ind w:right="7"/>
              <w:rPr>
                <w:rFonts w:cs="Times New Roman"/>
                <w:lang w:val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A14E1" w:rsidRDefault="00D94EDF" w:rsidP="00B572F3">
            <w:pPr>
              <w:widowControl w:val="0"/>
              <w:spacing w:after="0" w:line="240" w:lineRule="auto"/>
              <w:ind w:right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7A14E1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и физических лиц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14A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14A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14A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EDF" w:rsidRPr="007A14E1" w:rsidTr="00B572F3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F53FEC" w:rsidRDefault="00D94EDF" w:rsidP="00B572F3">
            <w:pPr>
              <w:widowControl w:val="0"/>
              <w:spacing w:after="0" w:line="240" w:lineRule="auto"/>
              <w:ind w:right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3FE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77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4EDF" w:rsidRPr="007A14E1" w:rsidTr="00B572F3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F53FEC" w:rsidRDefault="00D94EDF" w:rsidP="00B572F3">
            <w:pPr>
              <w:widowControl w:val="0"/>
              <w:spacing w:after="0" w:line="240" w:lineRule="auto"/>
              <w:ind w:right="7"/>
              <w:rPr>
                <w:rFonts w:cs="Times New Roman"/>
              </w:rPr>
            </w:pPr>
            <w:r w:rsidRPr="00F53FEC">
              <w:rPr>
                <w:rFonts w:ascii="Times New Roman" w:hAnsi="Times New Roman" w:cs="Times New Roman"/>
                <w:sz w:val="24"/>
                <w:szCs w:val="24"/>
              </w:rPr>
              <w:t>Предоставление молодым семьям субсидий на приобретение (строительство) жилья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F53FEC" w:rsidRDefault="00D94EDF" w:rsidP="00B572F3">
            <w:pPr>
              <w:widowControl w:val="0"/>
              <w:spacing w:after="0" w:line="240" w:lineRule="auto"/>
              <w:ind w:right="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3FEC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Газимуро-Заводского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148,8</w:t>
            </w:r>
          </w:p>
        </w:tc>
      </w:tr>
      <w:tr w:rsidR="00D94EDF" w:rsidRPr="007A14E1" w:rsidTr="00B572F3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F53FEC" w:rsidRDefault="00D94EDF" w:rsidP="00B572F3">
            <w:pPr>
              <w:widowControl w:val="0"/>
              <w:spacing w:after="0" w:line="240" w:lineRule="auto"/>
              <w:ind w:right="7"/>
              <w:rPr>
                <w:rFonts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F53FEC" w:rsidRDefault="00D94EDF" w:rsidP="00B572F3">
            <w:pPr>
              <w:widowControl w:val="0"/>
              <w:spacing w:after="0" w:line="240" w:lineRule="auto"/>
              <w:ind w:right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3FEC">
              <w:rPr>
                <w:rFonts w:ascii="Times New Roman" w:hAnsi="Times New Roman" w:cs="Times New Roman"/>
                <w:sz w:val="24"/>
                <w:szCs w:val="24"/>
              </w:rPr>
              <w:t>иные не запрещенные законодательством источники *: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A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A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A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D94EDF" w:rsidRPr="007A14E1" w:rsidTr="00B572F3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F53FEC" w:rsidRDefault="00D94EDF" w:rsidP="00B572F3">
            <w:pPr>
              <w:widowControl w:val="0"/>
              <w:spacing w:after="0" w:line="240" w:lineRule="auto"/>
              <w:ind w:right="7"/>
              <w:rPr>
                <w:rFonts w:cs="Times New Roman"/>
                <w:lang w:val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F53FEC" w:rsidRDefault="00D94EDF" w:rsidP="00B572F3">
            <w:pPr>
              <w:widowControl w:val="0"/>
              <w:spacing w:after="0" w:line="240" w:lineRule="auto"/>
              <w:ind w:right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3FEC">
              <w:rPr>
                <w:rFonts w:ascii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4EDF" w:rsidRPr="00FC3714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FC3714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FC3714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FC3714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575,6</w:t>
            </w:r>
          </w:p>
        </w:tc>
      </w:tr>
      <w:tr w:rsidR="00D94EDF" w:rsidRPr="007A14E1" w:rsidTr="00B572F3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F53FEC" w:rsidRDefault="00D94EDF" w:rsidP="00B572F3">
            <w:pPr>
              <w:widowControl w:val="0"/>
              <w:spacing w:after="0" w:line="240" w:lineRule="auto"/>
              <w:ind w:right="7"/>
              <w:rPr>
                <w:rFonts w:cs="Times New Roman"/>
                <w:lang w:val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F53FEC" w:rsidRDefault="00D94EDF" w:rsidP="00B572F3">
            <w:pPr>
              <w:widowControl w:val="0"/>
              <w:spacing w:after="0" w:line="240" w:lineRule="auto"/>
              <w:ind w:right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3FE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4EDF" w:rsidRPr="00FC3714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FC3714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FC3714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FC3714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</w:tr>
      <w:tr w:rsidR="00D94EDF" w:rsidRPr="007A14E1" w:rsidTr="00B572F3">
        <w:trPr>
          <w:trHeight w:val="627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F53FEC" w:rsidRDefault="00D94EDF" w:rsidP="00B572F3">
            <w:pPr>
              <w:widowControl w:val="0"/>
              <w:spacing w:after="0" w:line="240" w:lineRule="auto"/>
              <w:ind w:right="7"/>
              <w:rPr>
                <w:rFonts w:cs="Times New Roman"/>
                <w:lang w:val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F53FEC" w:rsidRDefault="00D94EDF" w:rsidP="00B572F3">
            <w:pPr>
              <w:widowControl w:val="0"/>
              <w:spacing w:after="0" w:line="240" w:lineRule="auto"/>
              <w:ind w:right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3FEC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и физических лиц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14A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14A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14A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EDF" w:rsidRPr="007A14E1" w:rsidTr="00B572F3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F53FEC" w:rsidRDefault="00D94EDF" w:rsidP="00B572F3">
            <w:pPr>
              <w:widowControl w:val="0"/>
              <w:spacing w:after="0" w:line="240" w:lineRule="auto"/>
              <w:ind w:right="7"/>
              <w:rPr>
                <w:rFonts w:cs="Times New Roman"/>
              </w:rPr>
            </w:pPr>
            <w:r w:rsidRPr="00F53F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Предоставление субсидий молодым семьям для погашения первоначального взноса </w:t>
            </w:r>
            <w:r w:rsidRPr="00F53FE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по ипотечным жилищным кредитам и займам</w:t>
            </w: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F53FEC" w:rsidRDefault="00D94EDF" w:rsidP="00B572F3">
            <w:pPr>
              <w:widowControl w:val="0"/>
              <w:spacing w:after="0" w:line="240" w:lineRule="auto"/>
              <w:ind w:right="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3F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Газимуро-Заводского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4ED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</w:tr>
      <w:tr w:rsidR="00D94EDF" w:rsidRPr="007A14E1" w:rsidTr="00B572F3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F53FEC" w:rsidRDefault="00D94EDF" w:rsidP="00B572F3">
            <w:pPr>
              <w:widowControl w:val="0"/>
              <w:spacing w:after="0" w:line="240" w:lineRule="auto"/>
              <w:ind w:right="7"/>
              <w:rPr>
                <w:rFonts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F53FEC" w:rsidRDefault="00D94EDF" w:rsidP="00B572F3">
            <w:pPr>
              <w:widowControl w:val="0"/>
              <w:spacing w:after="0" w:line="240" w:lineRule="auto"/>
              <w:ind w:right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3FEC">
              <w:rPr>
                <w:rFonts w:ascii="Times New Roman" w:hAnsi="Times New Roman" w:cs="Times New Roman"/>
                <w:sz w:val="24"/>
                <w:szCs w:val="24"/>
              </w:rPr>
              <w:t>иные не запрещенные законодательством источники *: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A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A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4A8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</w:p>
        </w:tc>
      </w:tr>
      <w:tr w:rsidR="00D94EDF" w:rsidRPr="007A14E1" w:rsidTr="00B572F3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F53FEC" w:rsidRDefault="00D94EDF" w:rsidP="00B572F3">
            <w:pPr>
              <w:widowControl w:val="0"/>
              <w:spacing w:after="0" w:line="240" w:lineRule="auto"/>
              <w:ind w:right="7"/>
              <w:rPr>
                <w:rFonts w:cs="Times New Roman"/>
                <w:lang w:val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F53FEC" w:rsidRDefault="00D94EDF" w:rsidP="00B572F3">
            <w:pPr>
              <w:widowControl w:val="0"/>
              <w:spacing w:after="0" w:line="240" w:lineRule="auto"/>
              <w:ind w:right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3FEC">
              <w:rPr>
                <w:rFonts w:ascii="Times New Roman" w:hAnsi="Times New Roman" w:cs="Times New Roman"/>
                <w:sz w:val="24"/>
                <w:szCs w:val="24"/>
              </w:rPr>
              <w:t>федеральный бюджет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863,4</w:t>
            </w:r>
          </w:p>
        </w:tc>
      </w:tr>
      <w:tr w:rsidR="00D94EDF" w:rsidRPr="007A14E1" w:rsidTr="00B572F3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F53FEC" w:rsidRDefault="00D94EDF" w:rsidP="00B572F3">
            <w:pPr>
              <w:widowControl w:val="0"/>
              <w:spacing w:after="0" w:line="240" w:lineRule="auto"/>
              <w:ind w:right="7"/>
              <w:rPr>
                <w:rFonts w:cs="Times New Roman"/>
                <w:lang w:val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F53FEC" w:rsidRDefault="00D94EDF" w:rsidP="00B572F3">
            <w:pPr>
              <w:widowControl w:val="0"/>
              <w:spacing w:after="0" w:line="240" w:lineRule="auto"/>
              <w:ind w:right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3FEC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402,0</w:t>
            </w:r>
          </w:p>
        </w:tc>
      </w:tr>
      <w:tr w:rsidR="00D94EDF" w:rsidRPr="007A14E1" w:rsidTr="00B572F3"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F53FEC" w:rsidRDefault="00D94EDF" w:rsidP="00B572F3">
            <w:pPr>
              <w:widowControl w:val="0"/>
              <w:spacing w:after="0" w:line="240" w:lineRule="auto"/>
              <w:ind w:right="7"/>
              <w:rPr>
                <w:rFonts w:cs="Times New Roman"/>
                <w:lang w:val="en-US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F53FEC" w:rsidRDefault="00D94EDF" w:rsidP="00B572F3">
            <w:pPr>
              <w:widowControl w:val="0"/>
              <w:spacing w:after="0" w:line="240" w:lineRule="auto"/>
              <w:ind w:right="7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53FEC">
              <w:rPr>
                <w:rFonts w:ascii="Times New Roman" w:hAnsi="Times New Roman" w:cs="Times New Roman"/>
                <w:sz w:val="24"/>
                <w:szCs w:val="24"/>
              </w:rPr>
              <w:t>средства юридических и физических лиц 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14A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14A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94EDF" w:rsidRPr="00714A8F" w:rsidRDefault="00D94EDF" w:rsidP="00B572F3">
            <w:pPr>
              <w:widowControl w:val="0"/>
              <w:spacing w:after="0" w:line="240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714A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94EDF" w:rsidRDefault="00D94EDF" w:rsidP="00D94EDF">
      <w:pPr>
        <w:spacing w:after="0" w:line="360" w:lineRule="auto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D94EDF" w:rsidRDefault="00D94EDF" w:rsidP="00D94ED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Раздел 5. Планируемые значения целевых показателей (индикаторов) муниципальной программы</w:t>
      </w:r>
    </w:p>
    <w:p w:rsidR="00D94EDF" w:rsidRDefault="00D94EDF" w:rsidP="00D94ED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8C2DB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Муниципальная программа «Предоставление молодым семьям социальных выплат на приобретение (строительство) жилья и их использования» предусматривает исполнение мероприятий на срок с 202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5</w:t>
      </w:r>
      <w:r w:rsidRPr="008C2DB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-2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0</w:t>
      </w:r>
      <w:r w:rsidRPr="008C2DB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8</w:t>
      </w:r>
      <w:r w:rsidRPr="008C2DB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гг.</w:t>
      </w:r>
    </w:p>
    <w:p w:rsidR="00D94EDF" w:rsidRDefault="00D94EDF" w:rsidP="00D94ED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результате реализации муниципальной программы значительно повысится уровень обеспеченности жильем молодых семей, а также заметно улучшатся жилищные условия для данных категорий граждан. Реализуемые мероприятия будут способствовать повышению демографических тенденций на территории Газимуро-Заводского муниципального округа, созданию благоприятных условий для проживания молодых семей, укреплению семейных отношений. </w:t>
      </w:r>
    </w:p>
    <w:p w:rsidR="00D94EDF" w:rsidRDefault="00D94EDF" w:rsidP="00D94EDF">
      <w:pPr>
        <w:spacing w:after="0" w:line="240" w:lineRule="auto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3124"/>
        <w:gridCol w:w="1512"/>
        <w:gridCol w:w="1283"/>
        <w:gridCol w:w="1408"/>
        <w:gridCol w:w="1564"/>
        <w:gridCol w:w="1564"/>
      </w:tblGrid>
      <w:tr w:rsidR="00D94EDF" w:rsidTr="00B572F3">
        <w:tc>
          <w:tcPr>
            <w:tcW w:w="3125" w:type="dxa"/>
            <w:vMerge w:val="restart"/>
          </w:tcPr>
          <w:p w:rsidR="00D94EDF" w:rsidRDefault="00D94EDF" w:rsidP="00B572F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Целевые показатели и индикаторы, на достижение которых направлены мероприятия муниципальной программы</w:t>
            </w:r>
          </w:p>
        </w:tc>
        <w:tc>
          <w:tcPr>
            <w:tcW w:w="1512" w:type="dxa"/>
            <w:vMerge w:val="restart"/>
          </w:tcPr>
          <w:p w:rsidR="00D94EDF" w:rsidRDefault="00D94EDF" w:rsidP="00B572F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Единица измерения</w:t>
            </w:r>
          </w:p>
        </w:tc>
        <w:tc>
          <w:tcPr>
            <w:tcW w:w="5819" w:type="dxa"/>
            <w:gridSpan w:val="4"/>
          </w:tcPr>
          <w:p w:rsidR="00D94EDF" w:rsidRDefault="00D94EDF" w:rsidP="00B572F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Значение индикаторов по годам реализации муниципальной программы</w:t>
            </w:r>
          </w:p>
        </w:tc>
      </w:tr>
      <w:tr w:rsidR="00D94EDF" w:rsidTr="00B572F3">
        <w:tc>
          <w:tcPr>
            <w:tcW w:w="3125" w:type="dxa"/>
            <w:vMerge/>
          </w:tcPr>
          <w:p w:rsidR="00D94EDF" w:rsidRDefault="00D94EDF" w:rsidP="00B572F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12" w:type="dxa"/>
            <w:vMerge/>
          </w:tcPr>
          <w:p w:rsidR="00D94EDF" w:rsidRDefault="00D94EDF" w:rsidP="00B572F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83" w:type="dxa"/>
          </w:tcPr>
          <w:p w:rsidR="00D94EDF" w:rsidRDefault="00D94EDF" w:rsidP="00B572F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2025</w:t>
            </w:r>
          </w:p>
        </w:tc>
        <w:tc>
          <w:tcPr>
            <w:tcW w:w="1408" w:type="dxa"/>
          </w:tcPr>
          <w:p w:rsidR="00D94EDF" w:rsidRDefault="00D94EDF" w:rsidP="00B572F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2026</w:t>
            </w:r>
          </w:p>
        </w:tc>
        <w:tc>
          <w:tcPr>
            <w:tcW w:w="1564" w:type="dxa"/>
          </w:tcPr>
          <w:p w:rsidR="00D94EDF" w:rsidRDefault="00D94EDF" w:rsidP="00B572F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2027</w:t>
            </w:r>
          </w:p>
        </w:tc>
        <w:tc>
          <w:tcPr>
            <w:tcW w:w="1564" w:type="dxa"/>
          </w:tcPr>
          <w:p w:rsidR="00D94EDF" w:rsidRDefault="00D94EDF" w:rsidP="00B572F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2028</w:t>
            </w:r>
          </w:p>
        </w:tc>
      </w:tr>
      <w:tr w:rsidR="00D94EDF" w:rsidTr="00B572F3">
        <w:tc>
          <w:tcPr>
            <w:tcW w:w="3125" w:type="dxa"/>
          </w:tcPr>
          <w:p w:rsidR="00D94EDF" w:rsidRPr="00E36FCD" w:rsidRDefault="00D94EDF" w:rsidP="00B572F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E36F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Количество молодых семей, улучшивших жилищные условия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 помощью субсидии </w:t>
            </w:r>
            <w:r w:rsidRPr="00E36F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(в том числе с использованием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субсидии на погашение части </w:t>
            </w:r>
            <w:r w:rsidRPr="00E36F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ипотечных кредитов и займов)</w:t>
            </w:r>
          </w:p>
        </w:tc>
        <w:tc>
          <w:tcPr>
            <w:tcW w:w="1512" w:type="dxa"/>
          </w:tcPr>
          <w:p w:rsidR="00D94EDF" w:rsidRPr="00E36FCD" w:rsidRDefault="00D94EDF" w:rsidP="00B572F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ч</w:t>
            </w:r>
            <w:r w:rsidRPr="00E36FC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ел.</w:t>
            </w:r>
          </w:p>
        </w:tc>
        <w:tc>
          <w:tcPr>
            <w:tcW w:w="1283" w:type="dxa"/>
          </w:tcPr>
          <w:p w:rsidR="00D94EDF" w:rsidRDefault="00D94EDF" w:rsidP="00B572F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4 семьи/ 14 человек</w:t>
            </w:r>
          </w:p>
        </w:tc>
        <w:tc>
          <w:tcPr>
            <w:tcW w:w="1408" w:type="dxa"/>
          </w:tcPr>
          <w:p w:rsidR="00D94EDF" w:rsidRDefault="00D94EDF" w:rsidP="00B572F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5 семей/ 18 человек</w:t>
            </w:r>
          </w:p>
        </w:tc>
        <w:tc>
          <w:tcPr>
            <w:tcW w:w="1564" w:type="dxa"/>
          </w:tcPr>
          <w:p w:rsidR="00D94EDF" w:rsidRDefault="00D94EDF" w:rsidP="00B572F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5 семей/ 18 человек</w:t>
            </w:r>
          </w:p>
        </w:tc>
        <w:tc>
          <w:tcPr>
            <w:tcW w:w="1564" w:type="dxa"/>
          </w:tcPr>
          <w:p w:rsidR="00D94EDF" w:rsidRDefault="00D94EDF" w:rsidP="00B572F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5 семей/ 18 человек</w:t>
            </w:r>
          </w:p>
        </w:tc>
      </w:tr>
      <w:tr w:rsidR="00D94EDF" w:rsidTr="00B572F3">
        <w:tc>
          <w:tcPr>
            <w:tcW w:w="3125" w:type="dxa"/>
          </w:tcPr>
          <w:p w:rsidR="00D94EDF" w:rsidRPr="00E36FCD" w:rsidRDefault="00D94EDF" w:rsidP="00B572F3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Доля молодых семей, обеспеченных жильем </w:t>
            </w:r>
          </w:p>
        </w:tc>
        <w:tc>
          <w:tcPr>
            <w:tcW w:w="1512" w:type="dxa"/>
          </w:tcPr>
          <w:p w:rsidR="00D94EDF" w:rsidRDefault="00D94EDF" w:rsidP="00B572F3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%</w:t>
            </w:r>
          </w:p>
        </w:tc>
        <w:tc>
          <w:tcPr>
            <w:tcW w:w="1283" w:type="dxa"/>
          </w:tcPr>
          <w:p w:rsidR="00D94EDF" w:rsidRDefault="00D94EDF" w:rsidP="00B572F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408" w:type="dxa"/>
          </w:tcPr>
          <w:p w:rsidR="00D94EDF" w:rsidRDefault="00D94EDF" w:rsidP="00B572F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564" w:type="dxa"/>
          </w:tcPr>
          <w:p w:rsidR="00D94EDF" w:rsidRDefault="00D94EDF" w:rsidP="00B572F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1564" w:type="dxa"/>
          </w:tcPr>
          <w:p w:rsidR="00D94EDF" w:rsidRDefault="00D94EDF" w:rsidP="00B572F3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shd w:val="clear" w:color="auto" w:fill="FFFFFF"/>
              </w:rPr>
              <w:t>40</w:t>
            </w:r>
          </w:p>
        </w:tc>
      </w:tr>
    </w:tbl>
    <w:p w:rsidR="00D94EDF" w:rsidRDefault="00D94EDF" w:rsidP="00D94EDF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</w:p>
    <w:p w:rsidR="00D94EDF" w:rsidRPr="000845AD" w:rsidRDefault="00D94EDF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94EDF" w:rsidRPr="000845AD" w:rsidSect="002E4B0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82"/>
    <w:rsid w:val="000845AD"/>
    <w:rsid w:val="001C1B60"/>
    <w:rsid w:val="001C55A5"/>
    <w:rsid w:val="002A6794"/>
    <w:rsid w:val="002E4B06"/>
    <w:rsid w:val="00317B66"/>
    <w:rsid w:val="00370866"/>
    <w:rsid w:val="004A2C66"/>
    <w:rsid w:val="004F114F"/>
    <w:rsid w:val="0054627B"/>
    <w:rsid w:val="005A4DFE"/>
    <w:rsid w:val="0065388D"/>
    <w:rsid w:val="00717FE3"/>
    <w:rsid w:val="008A1282"/>
    <w:rsid w:val="008F09BA"/>
    <w:rsid w:val="00A5667B"/>
    <w:rsid w:val="00AD6684"/>
    <w:rsid w:val="00C636D3"/>
    <w:rsid w:val="00C734B4"/>
    <w:rsid w:val="00CD41A0"/>
    <w:rsid w:val="00D74734"/>
    <w:rsid w:val="00D94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67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A6794"/>
    <w:pPr>
      <w:ind w:left="720"/>
      <w:contextualSpacing/>
    </w:pPr>
  </w:style>
  <w:style w:type="paragraph" w:customStyle="1" w:styleId="s16">
    <w:name w:val="s_16"/>
    <w:basedOn w:val="a"/>
    <w:rsid w:val="00D94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D94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azzavod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Управляющая делами</cp:lastModifiedBy>
  <cp:revision>11</cp:revision>
  <cp:lastPrinted>2024-04-22T02:36:00Z</cp:lastPrinted>
  <dcterms:created xsi:type="dcterms:W3CDTF">2024-04-16T23:43:00Z</dcterms:created>
  <dcterms:modified xsi:type="dcterms:W3CDTF">2024-04-22T02:36:00Z</dcterms:modified>
</cp:coreProperties>
</file>