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D6" w:rsidRDefault="00870ED6" w:rsidP="00691D0C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>
        <w:rPr>
          <w:rFonts w:ascii="Times New Roman" w:hAnsi="Times New Roman"/>
          <w:sz w:val="24"/>
          <w:szCs w:val="24"/>
        </w:rPr>
        <w:t>I</w:t>
      </w:r>
      <w:r w:rsidR="00250FD0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765AE0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4BD">
        <w:rPr>
          <w:rFonts w:ascii="Times New Roman" w:hAnsi="Times New Roman"/>
          <w:sz w:val="24"/>
          <w:szCs w:val="24"/>
          <w:lang w:val="ru-RU"/>
        </w:rPr>
        <w:t>Контрольн</w:t>
      </w:r>
      <w:r w:rsidR="003D557F">
        <w:rPr>
          <w:rFonts w:ascii="Times New Roman" w:hAnsi="Times New Roman"/>
          <w:sz w:val="24"/>
          <w:szCs w:val="24"/>
          <w:lang w:val="ru-RU"/>
        </w:rPr>
        <w:t>о-счетного органа было осуществлено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34D0">
        <w:rPr>
          <w:rFonts w:ascii="Times New Roman" w:hAnsi="Times New Roman"/>
          <w:sz w:val="24"/>
          <w:szCs w:val="24"/>
          <w:lang w:val="ru-RU"/>
        </w:rPr>
        <w:t>3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экспертно-аналити</w:t>
      </w:r>
      <w:r w:rsidR="00836602">
        <w:rPr>
          <w:rFonts w:ascii="Times New Roman" w:hAnsi="Times New Roman"/>
          <w:sz w:val="24"/>
          <w:szCs w:val="24"/>
          <w:lang w:val="ru-RU"/>
        </w:rPr>
        <w:t>ческих мероприятия</w:t>
      </w:r>
      <w:r w:rsidR="00BB50B4">
        <w:rPr>
          <w:rFonts w:ascii="Times New Roman" w:hAnsi="Times New Roman"/>
          <w:sz w:val="24"/>
          <w:szCs w:val="24"/>
          <w:lang w:val="ru-RU"/>
        </w:rPr>
        <w:t>, а именно:</w:t>
      </w:r>
    </w:p>
    <w:p w:rsidR="00C66B57" w:rsidRPr="00AE5162" w:rsidRDefault="00AC78C0" w:rsidP="00AE5162">
      <w:pPr>
        <w:suppressAutoHyphens/>
        <w:spacing w:after="0" w:line="240" w:lineRule="auto"/>
        <w:ind w:firstLine="284"/>
        <w:jc w:val="both"/>
        <w:rPr>
          <w:rStyle w:val="blk"/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AE5162">
        <w:rPr>
          <w:rFonts w:ascii="Times New Roman" w:hAnsi="Times New Roman"/>
          <w:b/>
          <w:sz w:val="24"/>
          <w:szCs w:val="24"/>
          <w:lang w:val="ru-RU"/>
        </w:rPr>
        <w:t xml:space="preserve">ЗАКЛЮЧЕНИЕ </w:t>
      </w:r>
      <w:r w:rsidR="00AE5162" w:rsidRPr="00AE5162">
        <w:rPr>
          <w:rFonts w:ascii="Times New Roman" w:hAnsi="Times New Roman"/>
          <w:b/>
          <w:sz w:val="24"/>
          <w:szCs w:val="24"/>
          <w:lang w:val="ru-RU"/>
        </w:rPr>
        <w:t xml:space="preserve">на проект постановления Администрации городского </w:t>
      </w:r>
      <w:proofErr w:type="gramStart"/>
      <w:r w:rsidR="00AE5162" w:rsidRPr="00AE5162">
        <w:rPr>
          <w:rFonts w:ascii="Times New Roman" w:hAnsi="Times New Roman"/>
          <w:b/>
          <w:sz w:val="24"/>
          <w:szCs w:val="24"/>
          <w:lang w:val="ru-RU"/>
        </w:rPr>
        <w:t>округа</w:t>
      </w:r>
      <w:proofErr w:type="gramEnd"/>
      <w:r w:rsidR="00AE5162" w:rsidRPr="00AE5162">
        <w:rPr>
          <w:rFonts w:ascii="Times New Roman" w:hAnsi="Times New Roman"/>
          <w:b/>
          <w:sz w:val="24"/>
          <w:szCs w:val="24"/>
          <w:lang w:val="ru-RU"/>
        </w:rPr>
        <w:t xml:space="preserve"> ЗАТО п. Горный «О внесении изменений в муниципальную программу «Комплексное развитие транспортной инфраструктуры городского округа ЗАТО п. Горный на 2019-2023 годы»</w:t>
      </w:r>
    </w:p>
    <w:p w:rsidR="00AE5162" w:rsidRPr="00AE5162" w:rsidRDefault="00AE5162" w:rsidP="00AE516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В ходе проведения экспертно-аналитического мероприятия установлено: </w:t>
      </w:r>
    </w:p>
    <w:p w:rsidR="00AE5162" w:rsidRPr="00AE5162" w:rsidRDefault="00AE5162" w:rsidP="00AE516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1.Согласно Постановления Администрации городского </w:t>
      </w:r>
      <w:proofErr w:type="gramStart"/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округа</w:t>
      </w:r>
      <w:proofErr w:type="gramEnd"/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</w:t>
      </w:r>
      <w:proofErr w:type="spellStart"/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п.Горный</w:t>
      </w:r>
      <w:proofErr w:type="spellEnd"/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от 12.10.2018 г. № 164 «Об утверждении муниципальной программы «Комплексное развитие транспортной инфраструктуры городского округа ЗАТО </w:t>
      </w:r>
      <w:proofErr w:type="spellStart"/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п.Горный</w:t>
      </w:r>
      <w:proofErr w:type="spellEnd"/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на 2019-2023 годы» (с изменениями) общий объём средств на реализацию программах мероприятий составлял 572,52 тыс. рублей.  </w:t>
      </w:r>
    </w:p>
    <w:p w:rsidR="00AE5162" w:rsidRPr="00AE5162" w:rsidRDefault="00AE5162" w:rsidP="00AE516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2.Согласно Решения Думы городского </w:t>
      </w:r>
      <w:proofErr w:type="gram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16.12.2021 г. №42 «О бюджете городского округа ЗАТО </w:t>
      </w:r>
      <w:proofErr w:type="spell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на 2022 год и на плановый период 2023 и 2024 годов» </w:t>
      </w:r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расходы на исполнение муниципальной программы на 2022 год утверждены в размере 6 600,00 тыс. рублей. </w:t>
      </w:r>
    </w:p>
    <w:p w:rsidR="00AE5162" w:rsidRPr="00AE5162" w:rsidRDefault="00AE5162" w:rsidP="00AE516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3.Проектом постановления о внесении изменений в муниципальную программу утверждаются расходы на 2022 год в сумме 6 600,00 тыс. рублей, в соответствии с Решением Думы №42 от 16.12.2021года.</w:t>
      </w:r>
    </w:p>
    <w:p w:rsidR="00AE5162" w:rsidRPr="00AE5162" w:rsidRDefault="00AE5162" w:rsidP="00AE516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4.В соответствии с паспортом муниципальная программа «Комплексное развитие транспортной инфраструктуры городского </w:t>
      </w:r>
      <w:proofErr w:type="gramStart"/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округа</w:t>
      </w:r>
      <w:proofErr w:type="gramEnd"/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</w:t>
      </w:r>
      <w:proofErr w:type="spellStart"/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п.Горный</w:t>
      </w:r>
      <w:proofErr w:type="spellEnd"/>
      <w:r w:rsidRPr="00AE516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на 2019-2023 годы» включает мероприятия на сумму 677,00 тыс. рублей, </w:t>
      </w:r>
      <w:r w:rsidRPr="00AE5162">
        <w:rPr>
          <w:rFonts w:ascii="Times New Roman" w:hAnsi="Times New Roman"/>
          <w:b/>
          <w:color w:val="000000"/>
          <w:sz w:val="24"/>
          <w:szCs w:val="24"/>
          <w:lang w:val="ru-RU" w:eastAsia="ru-RU" w:bidi="ar-SA"/>
        </w:rPr>
        <w:t xml:space="preserve">согласно проекту программы общий объём средств составит 7 167,00 тыс. рублей, на 2022 год – 6 590,00 тыс. рублей: </w:t>
      </w: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- «Устройство (монтаж) недостающих средств организации и регулирования дорожного движения» в</w:t>
      </w: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2022 году- 90,0 тыс. рублей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, итого на данное мероприятие планируется 120,0 тыс. рублей;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- «Уход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разметки» планируется </w:t>
      </w: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>на 2022 год - 30,0 тыс. рублей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;</w:t>
      </w:r>
      <w:r w:rsidRPr="00AE5162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итого на данное мероприятие планируется 70,0 тыс. рублей;</w:t>
      </w: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- «Замена поврежденных дорожных знаков и стоек, подсыпка и планировка берм дорожных знаков, очистка и мойка стоек, дорожных» на</w:t>
      </w: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2022 год - 15,0 тыс. рублей,</w:t>
      </w:r>
      <w:r w:rsidRPr="00AE5162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всего 75,00 тыс. рублей;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- «Освобождение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- расчистка автомобильных дорог от снежных заносов, борьба с зимней скользкостью, уборка снежных валов с обочин;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- погрузка и вывоз снега, в том числе его утилизация;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- распределение </w:t>
      </w:r>
      <w:proofErr w:type="spell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противогололедных</w:t>
      </w:r>
      <w:proofErr w:type="spell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материалов;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 - </w:t>
      </w: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на 2022 год - 144,0 тыс. рублей, 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итого по направлению необходима сумма в размере 499,0 тыс. рублей;</w:t>
      </w: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- «Уборка и мойка остановок общественного транспорта, автопавильонов,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уборка мусора из контейнеров и урн, в том числе с использованием специальных машин; вывозка мусора для утилизации на полигоны» </w:t>
      </w: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>в 2022 году планируется 50,0 тыс. рублей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, итого на мероприятие планируется 142,0 тыс. рублей;</w:t>
      </w: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      В связи с множественными обращениями граждан городского </w:t>
      </w:r>
      <w:proofErr w:type="gram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и необходимостью ремонта оставшегося участка дороги местного значения городского округа ЗАТО п. Горный в основные мероприятия программы «Комплексное развитие транспортной инфраструктуры городского округа ЗАТО п. Горный на 2018-2023 годы» добавлены следующие мероприятия:</w:t>
      </w: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- «Ремонт автомобильной дороги местного значения на участке №4 (ВЧ 48271 – КПП), участок №5 (территория около КПП)» </w:t>
      </w: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>на 2022 год – 5 611,00 тыс. рублей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, итого на данное мероприятие – 5 611,00 тыс. рублей;</w:t>
      </w: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- «Обустройство КПП -проведение инженерных изысканий, обследований, разработка проектов или сметных расчетов стоимости работ, экспертиза проектов</w:t>
      </w:r>
      <w:r w:rsidRPr="00AE5162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>на 2022 год – 250,00 тыс. рублей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, итого на данное мероприятие – 250,00 тыс. рублей; </w:t>
      </w: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- устройство инженерно-технических систем обеспечения безопасности дорожного движения и дорожных сооружений</w:t>
      </w:r>
      <w:r w:rsidRPr="00AE5162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>на 2022 год – 400,00 тыс. рублей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, итого на данное мероприятие – 400,00 тыс. рублей.</w:t>
      </w: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Данная муниципальная программа имеет в своем составе подпрограмму </w:t>
      </w:r>
      <w:r w:rsidRPr="00AE51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«Формирование законопослушного поведения участников дорожного движения в городском округе ЗАТО п. Горный», имеющая свои мероприятия на сумму 45,515 тыс. рублей</w:t>
      </w:r>
      <w:r w:rsidRPr="00AE5162">
        <w:rPr>
          <w:rFonts w:ascii="Times New Roman" w:eastAsia="Calibri" w:hAnsi="Times New Roman"/>
          <w:b/>
          <w:bCs/>
          <w:sz w:val="24"/>
          <w:szCs w:val="24"/>
          <w:lang w:val="ru-RU" w:eastAsia="ru-RU" w:bidi="ar-SA"/>
        </w:rPr>
        <w:t>, согласно проекту подпрограммы общий объём средств составит – 38,52 тыс. рублей, в 2022 году расходы  планируются в размере 10,00 тыс. рублей</w:t>
      </w:r>
      <w:r w:rsidRPr="00AE51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:</w:t>
      </w: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 w:rsidRPr="00AE5162"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  <w:t>-  «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(приобретение информационных стендов, плакатов, методических материалов, магнитно-маркерной доски «Дорожные правила пешехода»)» - </w:t>
      </w: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>на 2022 год - 0,0 тыс. рублей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, итого на данное мероприятие планируется 8,0 тыс. рублей.</w:t>
      </w: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- «Приобретение </w:t>
      </w:r>
      <w:proofErr w:type="spell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световозращающих</w:t>
      </w:r>
      <w:proofErr w:type="spell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элементов и распространение их среди учащихся младших классов» </w:t>
      </w: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>на 2022 год 10,0 тыс. рублей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, итого данное направление планируется сумма в размере 30,52 тыс. рублей. </w:t>
      </w:r>
    </w:p>
    <w:p w:rsidR="00AE5162" w:rsidRPr="00AE5162" w:rsidRDefault="00AE5162" w:rsidP="00AE5162">
      <w:pPr>
        <w:spacing w:before="120" w:after="0" w:line="240" w:lineRule="auto"/>
        <w:ind w:firstLine="0"/>
        <w:jc w:val="both"/>
        <w:rPr>
          <w:rFonts w:ascii="Times New Roman" w:eastAsia="Calibri" w:hAnsi="Times New Roman"/>
          <w:bCs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- « Приобретение и установка баннера «Внимание водитель, на дорогах дети!»-0,0 </w:t>
      </w:r>
      <w:proofErr w:type="spell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тыс.рублей</w:t>
      </w:r>
      <w:proofErr w:type="spell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-   «Организация и проведение обследования улично-дорожной сети на соответствие нормам и требованиям ГОСТ» -0,0 </w:t>
      </w:r>
      <w:proofErr w:type="spell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тыс.рублей</w:t>
      </w:r>
      <w:proofErr w:type="spell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-  «Размещение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движения- 0,0 </w:t>
      </w:r>
      <w:proofErr w:type="spell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тыс.рублей</w:t>
      </w:r>
      <w:proofErr w:type="spell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Всего финансирование планировалось за счет местного бюджета, с учетом ранее вносимых изменений в размере </w:t>
      </w: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722,515 тыс. рублей, в связи с внесенными изменениями - 7 205,515 тыс. рублей. 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E5162" w:rsidRPr="00AE5162" w:rsidRDefault="00AE5162" w:rsidP="00AE5162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lang w:val="ru-RU" w:eastAsia="ru-RU" w:bidi="ar-SA"/>
        </w:rPr>
      </w:pPr>
      <w:r w:rsidRPr="00AE5162">
        <w:rPr>
          <w:rFonts w:ascii="Times New Roman" w:hAnsi="Times New Roman"/>
          <w:color w:val="000000"/>
          <w:lang w:val="ru-RU" w:eastAsia="ru-RU" w:bidi="ar-SA"/>
        </w:rPr>
        <w:t>Анализ вносимых изменений проектом постановления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E5162" w:rsidRPr="00AE5162" w:rsidRDefault="00AE5162" w:rsidP="00AE5162">
      <w:pPr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тыс.рублей</w:t>
      </w:r>
      <w:proofErr w:type="spellEnd"/>
    </w:p>
    <w:tbl>
      <w:tblPr>
        <w:tblW w:w="9507" w:type="dxa"/>
        <w:tblInd w:w="93" w:type="dxa"/>
        <w:tblLook w:val="04A0" w:firstRow="1" w:lastRow="0" w:firstColumn="1" w:lastColumn="0" w:noHBand="0" w:noVBand="1"/>
      </w:tblPr>
      <w:tblGrid>
        <w:gridCol w:w="2820"/>
        <w:gridCol w:w="934"/>
        <w:gridCol w:w="1128"/>
        <w:gridCol w:w="1100"/>
        <w:gridCol w:w="1196"/>
        <w:gridCol w:w="1053"/>
        <w:gridCol w:w="1276"/>
      </w:tblGrid>
      <w:tr w:rsidR="00AE5162" w:rsidRPr="00AE5162" w:rsidTr="00124CD0">
        <w:trPr>
          <w:trHeight w:val="117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Утверждено в МП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Предлагается к утверждению проектом постановления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Отклонения             "+"увеличение,  </w:t>
            </w:r>
          </w:p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 "-"уменьшение</w:t>
            </w:r>
          </w:p>
        </w:tc>
      </w:tr>
      <w:tr w:rsidR="00AE5162" w:rsidRPr="00AE5162" w:rsidTr="00124CD0">
        <w:trPr>
          <w:trHeight w:val="66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AE5162">
              <w:rPr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AE5162">
              <w:rPr>
                <w:b/>
                <w:bCs/>
                <w:color w:val="000000"/>
                <w:lang w:val="ru-RU" w:eastAsia="ru-RU" w:bidi="ar-SA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AE5162">
              <w:rPr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AE5162">
              <w:rPr>
                <w:b/>
                <w:bCs/>
                <w:color w:val="000000"/>
                <w:lang w:val="ru-RU" w:eastAsia="ru-RU" w:bidi="ar-SA"/>
              </w:rPr>
              <w:t>2022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AE5162">
              <w:rPr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AE5162">
              <w:rPr>
                <w:b/>
                <w:bCs/>
                <w:color w:val="000000"/>
                <w:lang w:val="ru-RU" w:eastAsia="ru-RU" w:bidi="ar-SA"/>
              </w:rPr>
              <w:t>2022 год</w:t>
            </w:r>
          </w:p>
        </w:tc>
      </w:tr>
      <w:tr w:rsidR="00AE5162" w:rsidRPr="00AE5162" w:rsidTr="00124CD0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Муниципальная программа «Комплексное развитие транспортной инфраструктуры городского округа ЗАТО </w:t>
            </w:r>
            <w:proofErr w:type="spellStart"/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>п.Горный</w:t>
            </w:r>
            <w:proofErr w:type="spellEnd"/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 2019-2023 годы» , из них: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>722,515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>177,00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>7 205,515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>6 600,00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>6483,00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>6 423,00</w:t>
            </w:r>
          </w:p>
        </w:tc>
      </w:tr>
      <w:tr w:rsidR="00AE5162" w:rsidRPr="00AE5162" w:rsidTr="00124CD0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AE5162" w:rsidRPr="00AE5162" w:rsidTr="00124CD0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AE5162" w:rsidRPr="00AE5162" w:rsidTr="00124CD0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AE5162" w:rsidRPr="00AE5162" w:rsidTr="00124CD0">
        <w:trPr>
          <w:trHeight w:val="66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E5162" w:rsidRPr="00AE5162" w:rsidRDefault="00AE5162" w:rsidP="00AE5162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E5162" w:rsidRPr="00AE5162" w:rsidRDefault="00AE5162" w:rsidP="00AE5162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Источники ресурсного обеспечения муниципальной программы </w:t>
      </w: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157"/>
        <w:gridCol w:w="1134"/>
        <w:gridCol w:w="1276"/>
        <w:gridCol w:w="1134"/>
        <w:gridCol w:w="1276"/>
        <w:gridCol w:w="1275"/>
      </w:tblGrid>
      <w:tr w:rsidR="00AE5162" w:rsidRPr="00AE5162" w:rsidTr="00124CD0">
        <w:trPr>
          <w:trHeight w:val="135"/>
        </w:trPr>
        <w:tc>
          <w:tcPr>
            <w:tcW w:w="1928" w:type="dxa"/>
            <w:vMerge w:val="restart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lang w:val="ru-RU" w:eastAsia="ru-RU" w:bidi="ar-SA"/>
              </w:rPr>
              <w:t>Мероприятия</w:t>
            </w:r>
          </w:p>
        </w:tc>
        <w:tc>
          <w:tcPr>
            <w:tcW w:w="1157" w:type="dxa"/>
            <w:vMerge w:val="restart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lang w:val="ru-RU" w:eastAsia="ru-RU" w:bidi="ar-SA"/>
              </w:rPr>
              <w:t>всего</w:t>
            </w:r>
          </w:p>
        </w:tc>
        <w:tc>
          <w:tcPr>
            <w:tcW w:w="6095" w:type="dxa"/>
            <w:gridSpan w:val="5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lang w:val="ru-RU" w:eastAsia="ru-RU" w:bidi="ar-SA"/>
              </w:rPr>
              <w:t xml:space="preserve">Объем финансирования, </w:t>
            </w:r>
            <w:proofErr w:type="spellStart"/>
            <w:r w:rsidRPr="00AE5162">
              <w:rPr>
                <w:rFonts w:ascii="Times New Roman" w:hAnsi="Times New Roman"/>
                <w:b/>
                <w:lang w:val="ru-RU" w:eastAsia="ru-RU" w:bidi="ar-SA"/>
              </w:rPr>
              <w:t>тыс.рублей</w:t>
            </w:r>
            <w:proofErr w:type="spellEnd"/>
          </w:p>
        </w:tc>
      </w:tr>
      <w:tr w:rsidR="00AE5162" w:rsidRPr="00AE5162" w:rsidTr="00124CD0">
        <w:trPr>
          <w:trHeight w:val="195"/>
        </w:trPr>
        <w:tc>
          <w:tcPr>
            <w:tcW w:w="1928" w:type="dxa"/>
            <w:vMerge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157" w:type="dxa"/>
            <w:vMerge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134" w:type="dxa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lang w:val="ru-RU" w:eastAsia="ru-RU" w:bidi="ar-SA"/>
              </w:rPr>
              <w:t xml:space="preserve">2019 </w:t>
            </w:r>
          </w:p>
        </w:tc>
        <w:tc>
          <w:tcPr>
            <w:tcW w:w="1276" w:type="dxa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lang w:val="ru-RU" w:eastAsia="ru-RU" w:bidi="ar-SA"/>
              </w:rPr>
              <w:t>2020</w:t>
            </w:r>
          </w:p>
        </w:tc>
        <w:tc>
          <w:tcPr>
            <w:tcW w:w="1134" w:type="dxa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lang w:val="ru-RU" w:eastAsia="ru-RU" w:bidi="ar-SA"/>
              </w:rPr>
              <w:t>2022</w:t>
            </w:r>
          </w:p>
        </w:tc>
        <w:tc>
          <w:tcPr>
            <w:tcW w:w="1275" w:type="dxa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/>
                <w:lang w:val="ru-RU" w:eastAsia="ru-RU" w:bidi="ar-SA"/>
              </w:rPr>
              <w:t>2023</w:t>
            </w:r>
          </w:p>
        </w:tc>
      </w:tr>
      <w:tr w:rsidR="00AE5162" w:rsidRPr="00AE5162" w:rsidTr="00124CD0">
        <w:tc>
          <w:tcPr>
            <w:tcW w:w="1928" w:type="dxa"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Общее ресурсное обеспечение МП</w:t>
            </w:r>
          </w:p>
        </w:tc>
        <w:tc>
          <w:tcPr>
            <w:tcW w:w="1157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7205,515</w:t>
            </w:r>
          </w:p>
        </w:tc>
        <w:tc>
          <w:tcPr>
            <w:tcW w:w="1134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77,515</w:t>
            </w:r>
          </w:p>
        </w:tc>
        <w:tc>
          <w:tcPr>
            <w:tcW w:w="1276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128,0</w:t>
            </w:r>
          </w:p>
        </w:tc>
        <w:tc>
          <w:tcPr>
            <w:tcW w:w="1134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282,0</w:t>
            </w:r>
          </w:p>
        </w:tc>
        <w:tc>
          <w:tcPr>
            <w:tcW w:w="1276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6600,00</w:t>
            </w:r>
          </w:p>
        </w:tc>
        <w:tc>
          <w:tcPr>
            <w:tcW w:w="1275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118,0</w:t>
            </w:r>
          </w:p>
        </w:tc>
      </w:tr>
      <w:tr w:rsidR="00AE5162" w:rsidRPr="00AE5162" w:rsidTr="00124CD0">
        <w:tc>
          <w:tcPr>
            <w:tcW w:w="1928" w:type="dxa"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За счет средств федерального регионального бюджета</w:t>
            </w:r>
          </w:p>
        </w:tc>
        <w:tc>
          <w:tcPr>
            <w:tcW w:w="1157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5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E5162" w:rsidRPr="00AE5162" w:rsidTr="00124CD0">
        <w:tc>
          <w:tcPr>
            <w:tcW w:w="1928" w:type="dxa"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1157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5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AE5162" w:rsidRPr="00AE5162" w:rsidTr="00124CD0">
        <w:tc>
          <w:tcPr>
            <w:tcW w:w="1928" w:type="dxa"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За счет средств местного бюджета</w:t>
            </w:r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7205,515</w:t>
            </w:r>
          </w:p>
        </w:tc>
        <w:tc>
          <w:tcPr>
            <w:tcW w:w="1134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77,515</w:t>
            </w:r>
          </w:p>
        </w:tc>
        <w:tc>
          <w:tcPr>
            <w:tcW w:w="1276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128,0</w:t>
            </w:r>
          </w:p>
        </w:tc>
        <w:tc>
          <w:tcPr>
            <w:tcW w:w="1134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282,0</w:t>
            </w:r>
          </w:p>
        </w:tc>
        <w:tc>
          <w:tcPr>
            <w:tcW w:w="1276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6600,00</w:t>
            </w:r>
          </w:p>
        </w:tc>
        <w:tc>
          <w:tcPr>
            <w:tcW w:w="1275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118,0</w:t>
            </w:r>
          </w:p>
        </w:tc>
      </w:tr>
      <w:tr w:rsidR="00AE5162" w:rsidRPr="00AE5162" w:rsidTr="00124CD0">
        <w:tc>
          <w:tcPr>
            <w:tcW w:w="1928" w:type="dxa"/>
          </w:tcPr>
          <w:p w:rsidR="00AE5162" w:rsidRPr="00AE5162" w:rsidRDefault="00AE5162" w:rsidP="00AE5162">
            <w:pPr>
              <w:spacing w:after="0" w:line="240" w:lineRule="auto"/>
              <w:ind w:firstLine="0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color w:val="00000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1157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276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276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275" w:type="dxa"/>
            <w:vAlign w:val="center"/>
          </w:tcPr>
          <w:p w:rsidR="00AE5162" w:rsidRPr="00AE5162" w:rsidRDefault="00AE5162" w:rsidP="00AE516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E516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</w:tr>
    </w:tbl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AE5162" w:rsidRPr="00AE5162" w:rsidRDefault="00AE5162" w:rsidP="00AE5162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AE5162" w:rsidRPr="00AE5162" w:rsidRDefault="00AE5162" w:rsidP="00AE516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При проведении финансово – экономической экспертизы проекта постановления установлено соответствие объемов финансирования мероприятий Программы, указанных в паспорте Программы и в перечне мероприятий.</w:t>
      </w:r>
    </w:p>
    <w:p w:rsidR="00AE5162" w:rsidRPr="00AE5162" w:rsidRDefault="00AE5162" w:rsidP="00AE5162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AE5162" w:rsidRPr="00AE5162" w:rsidRDefault="00AE5162" w:rsidP="00AE5162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Основные выводы по результатам экспертизы муниципальной программы:</w:t>
      </w:r>
    </w:p>
    <w:p w:rsidR="00AE5162" w:rsidRPr="00AE5162" w:rsidRDefault="00AE5162" w:rsidP="00AE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E5162" w:rsidRPr="00AE5162" w:rsidRDefault="00AE5162" w:rsidP="00AE516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В ходе проверки нарушений бюджетного законодательства не выявлено.</w:t>
      </w:r>
    </w:p>
    <w:p w:rsidR="00AE5162" w:rsidRPr="00AE5162" w:rsidRDefault="00AE5162" w:rsidP="00AE516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bidi="ar-SA"/>
        </w:rPr>
        <w:t xml:space="preserve"> Обосновывающие материалы к проекту постановления муниципальной программы 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«Комплексное развитие транспортной инфраструктуры городского округа ЗАТО </w:t>
      </w:r>
      <w:proofErr w:type="spell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на 2019-2023 годы» представлены на сумму 5 266,93 тыс. рублей не в полном объёме. Общая сумма потребности финансовых средств рассчитана сметным способом и на основании ранее заключенных договоров для обслуживания дорожного полотна в городском округе ЗАТО </w:t>
      </w:r>
      <w:proofErr w:type="spell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AE5162" w:rsidRPr="00AE5162" w:rsidRDefault="00AE5162" w:rsidP="00AE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3.</w:t>
      </w:r>
      <w:r w:rsidRPr="00AE5162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Согласно Решения Думы городского округа ЗАТО п. Горный от 16.12.2021 г. №42 «О бюджете городского округа ЗАТО п. Горный на 2022 год и на плановый период 2023 и 2024 годов» расходы на исполнение муниципальной программы на 2022 год утверждены в размере 6 600,00 тыс. рублей.</w:t>
      </w:r>
    </w:p>
    <w:p w:rsidR="00AE5162" w:rsidRPr="00AE5162" w:rsidRDefault="00AE5162" w:rsidP="00AE5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4. Рассмотрев проект постановления «О внесении изменений в муниципальную программу «Комплексное развитие транспортной инфраструктуры городского округа ЗАТО </w:t>
      </w:r>
      <w:proofErr w:type="spell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на 2019-2023 годы», утвержденную постановлением администрации городского округа ЗАТО </w:t>
      </w:r>
      <w:proofErr w:type="spellStart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AE5162">
        <w:rPr>
          <w:rFonts w:ascii="Times New Roman" w:hAnsi="Times New Roman"/>
          <w:sz w:val="24"/>
          <w:szCs w:val="24"/>
          <w:lang w:val="ru-RU" w:eastAsia="ru-RU" w:bidi="ar-SA"/>
        </w:rPr>
        <w:t xml:space="preserve"> от 12 октября 2018 года №164 (с внесенными изменениями), Контрольно-счетный орган считает изменения, вносимые в Программу, обоснованными и не противоречащими действующему законодательству. </w:t>
      </w:r>
    </w:p>
    <w:p w:rsidR="00AE5162" w:rsidRPr="00AE5162" w:rsidRDefault="00AE5162" w:rsidP="00AE5162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A25C2" w:rsidRPr="003A25C2" w:rsidRDefault="003A25C2" w:rsidP="003A25C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1F0A" w:rsidRPr="004D1F0A" w:rsidRDefault="00F1681E" w:rsidP="004D1F0A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b/>
          <w:sz w:val="24"/>
          <w:szCs w:val="24"/>
          <w:lang w:val="ru-RU" w:eastAsia="ru-RU" w:bidi="ar-SA"/>
        </w:rPr>
        <w:t>2.</w:t>
      </w:r>
      <w:r w:rsidR="004D1F0A" w:rsidRPr="004D1F0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ЗАКЛЮЧЕНИЕ на проект </w:t>
      </w:r>
      <w:r w:rsidR="004D1F0A" w:rsidRPr="004D1F0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постановления Администрации городского округа ЗАТО п. Горный</w:t>
      </w:r>
      <w:r w:rsidR="004D1F0A" w:rsidRPr="004D1F0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4D1F0A" w:rsidRPr="004D1F0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«О внесении изменений в </w:t>
      </w:r>
      <w:r w:rsidR="004D1F0A" w:rsidRPr="004D1F0A">
        <w:rPr>
          <w:rFonts w:ascii="Times New Roman" w:hAnsi="Times New Roman"/>
          <w:b/>
          <w:sz w:val="24"/>
          <w:szCs w:val="24"/>
          <w:lang w:val="ru-RU" w:eastAsia="ru-RU" w:bidi="ar-SA"/>
        </w:rPr>
        <w:t>муниципальную программу «Формирование комфортной городской среды в городском округе ЗАТО п. Горный на 2018-2024 годы», утверждённую постановлением администрации городского округа ЗАТО п. Горный от 21 сентября 2017 года №144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sz w:val="24"/>
          <w:szCs w:val="24"/>
          <w:lang w:val="ru-RU" w:eastAsia="ru-RU" w:bidi="ar-SA"/>
        </w:rPr>
        <w:t xml:space="preserve">В ходе проведения экспертно-аналитического мероприятия установлено: 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1.Согласно Постановления Администрации городского округа ЗАТО п. Горный от 21.09.2017 г. № 144 «Об утверждении муниципальной программы «Формирование комфортной городской среды в городском округе ЗАТО п. Горный на 2018-2024 годы» (с изменениями) общий объём средств на реализацию программах мероприятий корректируется по мере доведения лимитов из других бюджетов. За 2018-2021 годы на программные мероприятия было израсходовано 23 948,37 тыс. рублей. 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2. В соответствии с Законом Забайкальского края от 27.12.2021 N 2007-ЗЗК "О бюджете Забайкальского края на 2022 год и плановый период 2023 и 2024 годов" (принят Законодательным Собранием Забайкальского края 24.12.2021) бюджету городского округа ЗАТО п. Горный распределена в 2022 году субсидия из бюджета Забайкальского края на поддержку муниципальной программы формирования современной городской среды в размере – 8 000,00 тыс. рублей, из них  руб. из федерального бюджета – 7 840,00 тыс. рублей из краевого бюджета -160,00 тыс. рублей. 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3.Согласно Решения Думы городского округа ЗАТО п. Горный от 16.12.2021 г. №42 «О бюджете городского округа ЗАТО п. Горный на 2022 год и на плановый период 2023 и 2024 годов» расходы на исполнение муниципальной программы на 2022 год утверждены в размере – 2 637,80 тыс. рублей.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4. Проектом постановления о внесении изменений в муниципальную программу объёмы финансирования программы корректируются в соответствии Законом Забайкальского края от 27.12.2021 N 2007-ЗЗК "О бюджете Забайкальского края на 2022 год и плановый период 2023 и 2024 годов".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sz w:val="24"/>
          <w:szCs w:val="24"/>
          <w:lang w:val="ru-RU" w:eastAsia="ru-RU" w:bidi="ar-SA"/>
        </w:rPr>
        <w:t xml:space="preserve">Источники ресурсного обеспечения муниципальной программы 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21"/>
        <w:gridCol w:w="1276"/>
        <w:gridCol w:w="1134"/>
        <w:gridCol w:w="1134"/>
        <w:gridCol w:w="1134"/>
        <w:gridCol w:w="1134"/>
        <w:gridCol w:w="992"/>
        <w:gridCol w:w="709"/>
      </w:tblGrid>
      <w:tr w:rsidR="004D1F0A" w:rsidRPr="004D1F0A" w:rsidTr="004D1F0A">
        <w:trPr>
          <w:trHeight w:val="135"/>
        </w:trPr>
        <w:tc>
          <w:tcPr>
            <w:tcW w:w="1526" w:type="dxa"/>
            <w:vMerge w:val="restart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1021" w:type="dxa"/>
            <w:vMerge w:val="restart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7513" w:type="dxa"/>
            <w:gridSpan w:val="7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Объем финансирования, тыс. рублей</w:t>
            </w:r>
          </w:p>
        </w:tc>
      </w:tr>
      <w:tr w:rsidR="004D1F0A" w:rsidRPr="004D1F0A" w:rsidTr="004D1F0A">
        <w:trPr>
          <w:trHeight w:val="195"/>
        </w:trPr>
        <w:tc>
          <w:tcPr>
            <w:tcW w:w="1526" w:type="dxa"/>
            <w:vMerge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21" w:type="dxa"/>
            <w:vMerge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2018 </w:t>
            </w:r>
          </w:p>
        </w:tc>
        <w:tc>
          <w:tcPr>
            <w:tcW w:w="1134" w:type="dxa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2019</w:t>
            </w:r>
          </w:p>
        </w:tc>
        <w:tc>
          <w:tcPr>
            <w:tcW w:w="1134" w:type="dxa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2020</w:t>
            </w:r>
          </w:p>
        </w:tc>
        <w:tc>
          <w:tcPr>
            <w:tcW w:w="1134" w:type="dxa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2021</w:t>
            </w:r>
          </w:p>
        </w:tc>
        <w:tc>
          <w:tcPr>
            <w:tcW w:w="1134" w:type="dxa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2022</w:t>
            </w:r>
          </w:p>
        </w:tc>
        <w:tc>
          <w:tcPr>
            <w:tcW w:w="992" w:type="dxa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2023</w:t>
            </w:r>
          </w:p>
        </w:tc>
        <w:tc>
          <w:tcPr>
            <w:tcW w:w="709" w:type="dxa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2024</w:t>
            </w:r>
          </w:p>
        </w:tc>
      </w:tr>
      <w:tr w:rsidR="004D1F0A" w:rsidRPr="004D1F0A" w:rsidTr="004D1F0A">
        <w:tc>
          <w:tcPr>
            <w:tcW w:w="1526" w:type="dxa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 xml:space="preserve">Общее ресурсное </w:t>
            </w:r>
            <w:r w:rsidRPr="004D1F0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обеспечение МП</w:t>
            </w:r>
          </w:p>
        </w:tc>
        <w:tc>
          <w:tcPr>
            <w:tcW w:w="1021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>*</w:t>
            </w:r>
          </w:p>
        </w:tc>
        <w:tc>
          <w:tcPr>
            <w:tcW w:w="1276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4083,29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4944,82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7889,14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7128,85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10637,79</w:t>
            </w:r>
          </w:p>
        </w:tc>
        <w:tc>
          <w:tcPr>
            <w:tcW w:w="992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*</w:t>
            </w:r>
          </w:p>
        </w:tc>
        <w:tc>
          <w:tcPr>
            <w:tcW w:w="709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*</w:t>
            </w:r>
          </w:p>
        </w:tc>
      </w:tr>
      <w:tr w:rsidR="004D1F0A" w:rsidRPr="004D1F0A" w:rsidTr="004D1F0A">
        <w:trPr>
          <w:trHeight w:val="1245"/>
        </w:trPr>
        <w:tc>
          <w:tcPr>
            <w:tcW w:w="1526" w:type="dxa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 счет средств федерального бюджета</w:t>
            </w:r>
          </w:p>
        </w:tc>
        <w:tc>
          <w:tcPr>
            <w:tcW w:w="1021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*</w:t>
            </w:r>
          </w:p>
        </w:tc>
        <w:tc>
          <w:tcPr>
            <w:tcW w:w="1276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3448,19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4286,28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7 047,98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4935,20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7840,00</w:t>
            </w:r>
          </w:p>
        </w:tc>
        <w:tc>
          <w:tcPr>
            <w:tcW w:w="992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*</w:t>
            </w:r>
          </w:p>
        </w:tc>
        <w:tc>
          <w:tcPr>
            <w:tcW w:w="709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*</w:t>
            </w:r>
          </w:p>
        </w:tc>
      </w:tr>
      <w:tr w:rsidR="004D1F0A" w:rsidRPr="004D1F0A" w:rsidTr="004D1F0A">
        <w:trPr>
          <w:trHeight w:val="660"/>
        </w:trPr>
        <w:tc>
          <w:tcPr>
            <w:tcW w:w="1526" w:type="dxa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 счет краевого бюджета</w:t>
            </w:r>
          </w:p>
        </w:tc>
        <w:tc>
          <w:tcPr>
            <w:tcW w:w="1021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*</w:t>
            </w:r>
          </w:p>
        </w:tc>
        <w:tc>
          <w:tcPr>
            <w:tcW w:w="1276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220,1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87,48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143,84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100,72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160,00</w:t>
            </w:r>
          </w:p>
        </w:tc>
        <w:tc>
          <w:tcPr>
            <w:tcW w:w="992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*</w:t>
            </w:r>
          </w:p>
        </w:tc>
        <w:tc>
          <w:tcPr>
            <w:tcW w:w="709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*</w:t>
            </w:r>
          </w:p>
        </w:tc>
      </w:tr>
      <w:tr w:rsidR="004D1F0A" w:rsidRPr="004D1F0A" w:rsidTr="004D1F0A">
        <w:tc>
          <w:tcPr>
            <w:tcW w:w="1526" w:type="dxa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 w:bidi="ar-SA"/>
              </w:rPr>
              <w:t>За счет средств местного бюджета</w:t>
            </w:r>
            <w:r w:rsidRPr="004D1F0A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6016,66</w:t>
            </w:r>
          </w:p>
        </w:tc>
        <w:tc>
          <w:tcPr>
            <w:tcW w:w="1276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415,00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571,06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697,33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2092,93</w:t>
            </w:r>
          </w:p>
        </w:tc>
        <w:tc>
          <w:tcPr>
            <w:tcW w:w="1134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2637,79</w:t>
            </w:r>
          </w:p>
        </w:tc>
        <w:tc>
          <w:tcPr>
            <w:tcW w:w="992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*</w:t>
            </w:r>
          </w:p>
        </w:tc>
        <w:tc>
          <w:tcPr>
            <w:tcW w:w="709" w:type="dxa"/>
            <w:vAlign w:val="center"/>
          </w:tcPr>
          <w:p w:rsidR="004D1F0A" w:rsidRPr="004D1F0A" w:rsidRDefault="004D1F0A" w:rsidP="004D1F0A">
            <w:pPr>
              <w:spacing w:line="240" w:lineRule="auto"/>
              <w:ind w:firstLine="3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4D1F0A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*</w:t>
            </w:r>
          </w:p>
        </w:tc>
      </w:tr>
    </w:tbl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Основные выводы по результатам экспертизы муниципальной программы: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1. В ходе проверки нарушений бюджетного законодательства не выявлено.   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2. Обосновывающие материалы к проекту постановления муниципальной программы «Формирование комфортной городской среды в городском округе ЗАТО п. Горный на 2018-2024 годы» представлены в полном объёме. Сумма потребности финансовых средств в программе корректируется по мере доведения лимитов из других бюджетов.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3. Согласно Решения Думы городского округа ЗАТО п. Горный от 16.12.2021 г. №42 «О бюджете городского округа ЗАТО п. Горный на 2022 год и на плановый период 2023 и 2024 годов» расходы на исполнение муниципальной программы на 2022 год утверждены в размере – 2 637,79 тыс. рублей.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4. Контрольно-счетный орган городского округа ЗАТО п. Горный рекомендует Администрации городского округа ЗАТО п. Горный, в соответствии с Законом Забайкальского края от 27.12.2021 N 2007-ЗЗК "О бюджете Забайкальского края на 2022 год и плановый период 2023 и 2024 годов" (принят Законодательным Собранием Забайкальского края 24.12.2021) внести изменения в решение Думы городского округа ЗАТО п. Горный от 16.12.2021 г. №42 «О бюджете городского округа ЗАТО п. Горный на 2022 год и на плановый период 2023 и 2024 годов».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D1F0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5. Рассмотрев проект постановления «О внесении изменений в муниципальную программу «Формирование комфортной городской среды в городском округе ЗАТО п. Горный на 2018-2024 годы», утвержденную постановлением администрации городского округа ЗАТО п. Горный от 21 сентября 2017 года №144 (с внесенными изменениями), Контрольно-счетный орган считает изменения, вносимые в Программу, обоснованными и не противоречащими действующему законодательству.</w:t>
      </w:r>
    </w:p>
    <w:p w:rsidR="004D1F0A" w:rsidRPr="004D1F0A" w:rsidRDefault="004D1F0A" w:rsidP="004D1F0A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C0372" w:rsidRDefault="009C0372" w:rsidP="009C0372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C0372" w:rsidRPr="009C0372" w:rsidRDefault="009C0372" w:rsidP="009C0372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3.</w:t>
      </w:r>
      <w:r w:rsidRPr="009C037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ЗАКЛЮЧЕНИЕ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9C037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по результатам экспертизы проекта решения Думы городского округа ЗАТО п. Горный «О внесении изменений в решение Думы городского округа ЗАТО </w:t>
      </w:r>
      <w:proofErr w:type="spellStart"/>
      <w:r w:rsidRPr="009C0372">
        <w:rPr>
          <w:rFonts w:ascii="Times New Roman" w:hAnsi="Times New Roman"/>
          <w:b/>
          <w:sz w:val="24"/>
          <w:szCs w:val="24"/>
          <w:lang w:val="ru-RU" w:eastAsia="ru-RU" w:bidi="ar-SA"/>
        </w:rPr>
        <w:t>п.Горный</w:t>
      </w:r>
      <w:proofErr w:type="spellEnd"/>
      <w:r w:rsidRPr="009C037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«О бюджете городского округа ЗАТО п. Горный на 2022 год</w:t>
      </w: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9C0372">
        <w:rPr>
          <w:rFonts w:ascii="Times New Roman" w:hAnsi="Times New Roman"/>
          <w:b/>
          <w:sz w:val="24"/>
          <w:szCs w:val="24"/>
          <w:lang w:val="ru-RU" w:eastAsia="ru-RU" w:bidi="ar-SA"/>
        </w:rPr>
        <w:t>и плановый период 2023 и 2024 годов»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1. Контрольно-счетный орган отмечает, что в целом проект решения по структуре и по содержанию соответствует федеральному законодательству РФ и другим нормативным правовым актам, затрагивающим предмет его регулирования.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2. Проектом решения предлагается: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-общий объем доходов увеличится на 49 933,87 тыс. рублей, или на 22,3%, и составит 273 910,07 тыс. рублей;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-общий объем расходов увеличится на 49 933,87 тыс. рублей, или на 22,3%, и составит 273 910,07 тыс. рублей;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-дефицит бюджета составит 0,0 тыс. рублей.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3. В доходной части бюджета городского округа ЗАТО </w:t>
      </w:r>
      <w:proofErr w:type="spellStart"/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п.Горный</w:t>
      </w:r>
      <w:proofErr w:type="spellEnd"/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 на 2022 год предлагается увеличить объем годовых бюджетных назначений по безвозмездным поступлениям на 47 191,37 тыс. рублей, объём средств составит 194 517,27 тыс. рублей, налоговые и неналоговые доходы на сумму 2 742,00 тыс. рублей, которые составят 79 392,80 тыс. рублей.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4.Проектом решения вносятся изменения, затрагивающие увеличения ассигнований на реализацию муниципальной программы «Формирование комфортной городской среды в городском округе ЗАТО п. Горный на 2018-2022годы» на сумму 8000,00 тыс. рублей, за счет субсидии от других бюджетов бюджетной системы РФ на поддержку муниципальной программы формирования современной городской среды.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5. В расходной части бюджета на 2022 год корректируются бюджетные ассигнования: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- в сторону увеличения по 6 разделам бюджетной классификации расходов на общую сумму 49 933,93 тыс. рублей, а именно: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«Общегосударственные вопросы» - на 2 489,23 тыс. рублей, или на 9,9%;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«Национальная оборона» - на 8,70 тыс. рублей, или на 2,4%;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«Национальная безопасность и правоохранительная деятельность» - на 337,52 тыс. рублей, или на 6,1%;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«Жилищно-коммунальное хозяйство» - на 30 834,26 тыс. рублей, или в 6,9 раз;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«Образование» -  на 20 542,27 тыс. рублей, или на 11,7%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«Социальная политика» - на 190,00 тыс. рублей, или на 3,7%;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right="57" w:firstLine="0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               - в сторону уменьшения по 1 разделу бюджетной классификации расходов на общую сумму 0,06 тыс. рублей, а именно: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lastRenderedPageBreak/>
        <w:t xml:space="preserve"> «Национальная экономика» - на 0,06 тыс. рублей, или на 0,01%;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left="170" w:right="57" w:firstLine="709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6. В результате вносимых проектом решения изменений дефицит бюджета городского округа ЗАТО </w:t>
      </w:r>
      <w:r w:rsidR="00073966"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п. Горный</w:t>
      </w: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 на 2022 год не предусмотрен.</w:t>
      </w:r>
    </w:p>
    <w:p w:rsidR="009C0372" w:rsidRDefault="009C0372" w:rsidP="009C0372">
      <w:pPr>
        <w:tabs>
          <w:tab w:val="left" w:pos="9214"/>
        </w:tabs>
        <w:spacing w:after="0" w:line="360" w:lineRule="auto"/>
        <w:ind w:right="57" w:firstLine="0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Предложения:</w:t>
      </w:r>
    </w:p>
    <w:p w:rsidR="009C0372" w:rsidRPr="009C0372" w:rsidRDefault="009C0372" w:rsidP="009C0372">
      <w:pPr>
        <w:tabs>
          <w:tab w:val="left" w:pos="9214"/>
        </w:tabs>
        <w:spacing w:after="0" w:line="360" w:lineRule="auto"/>
        <w:ind w:right="57" w:firstLine="0"/>
        <w:contextualSpacing/>
        <w:mirrorIndents/>
        <w:jc w:val="both"/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</w:pPr>
      <w:r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        </w:t>
      </w: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Контрольно-счетный орган полагает, что проект решения о внесении изменений в решение Думы городского </w:t>
      </w:r>
      <w:proofErr w:type="gramStart"/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округа</w:t>
      </w:r>
      <w:proofErr w:type="gramEnd"/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 ЗАТО п. Горный от 16.12.2021 № 42 «О бюджете городского округа ЗАТО </w:t>
      </w:r>
      <w:r w:rsidR="00073966"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п. Горный</w:t>
      </w:r>
      <w:bookmarkStart w:id="0" w:name="_GoBack"/>
      <w:bookmarkEnd w:id="0"/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 на 2022 год и плановый период 2023 и 2024 годов», с внесенными изменениями может быть принят Думой городского округа ЗАТО </w:t>
      </w:r>
      <w:r w:rsidR="00073966"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>п. Горный</w:t>
      </w:r>
      <w:r w:rsidRPr="009C0372">
        <w:rPr>
          <w:rFonts w:ascii="Times New Roman" w:hAnsi="Times New Roman"/>
          <w:bCs/>
          <w:iCs/>
          <w:sz w:val="24"/>
          <w:szCs w:val="28"/>
          <w:lang w:val="ru-RU" w:eastAsia="ru-RU" w:bidi="ar-SA"/>
        </w:rPr>
        <w:t xml:space="preserve"> к рассмотрению.</w:t>
      </w:r>
    </w:p>
    <w:p w:rsidR="009C0372" w:rsidRPr="009C0372" w:rsidRDefault="009C0372" w:rsidP="009C0372">
      <w:pPr>
        <w:spacing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CF4023" w:rsidRPr="00CF4023" w:rsidRDefault="00CF4023" w:rsidP="00CF4023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73966" w:rsidRPr="00073966" w:rsidRDefault="00073966" w:rsidP="00073966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Председатель Контрольно-счетного органа</w:t>
      </w:r>
    </w:p>
    <w:p w:rsidR="00073966" w:rsidRPr="00073966" w:rsidRDefault="00073966" w:rsidP="00073966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 xml:space="preserve">городского </w:t>
      </w:r>
      <w:proofErr w:type="gramStart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п. Горный</w:t>
      </w:r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</w:t>
      </w:r>
      <w:proofErr w:type="spellStart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В.А.Шурманова</w:t>
      </w:r>
      <w:proofErr w:type="spellEnd"/>
    </w:p>
    <w:p w:rsidR="003C6D33" w:rsidRPr="006D222C" w:rsidRDefault="003C6D33" w:rsidP="006D222C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sectPr w:rsidR="003C6D33" w:rsidRPr="006D222C" w:rsidSect="00691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B0" w:rsidRDefault="00F638B0" w:rsidP="00DA21D7">
      <w:pPr>
        <w:spacing w:after="0" w:line="240" w:lineRule="auto"/>
      </w:pPr>
      <w:r>
        <w:separator/>
      </w:r>
    </w:p>
  </w:endnote>
  <w:endnote w:type="continuationSeparator" w:id="0">
    <w:p w:rsidR="00F638B0" w:rsidRDefault="00F638B0" w:rsidP="00D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85604"/>
      <w:docPartObj>
        <w:docPartGallery w:val="Page Numbers (Bottom of Page)"/>
        <w:docPartUnique/>
      </w:docPartObj>
    </w:sdtPr>
    <w:sdtEndPr/>
    <w:sdtContent>
      <w:p w:rsidR="00DA21D7" w:rsidRDefault="00DA21D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66" w:rsidRPr="00073966">
          <w:rPr>
            <w:noProof/>
            <w:lang w:val="ru-RU"/>
          </w:rPr>
          <w:t>6</w:t>
        </w:r>
        <w:r>
          <w:fldChar w:fldCharType="end"/>
        </w:r>
      </w:p>
    </w:sdtContent>
  </w:sdt>
  <w:p w:rsidR="00DA21D7" w:rsidRDefault="00DA21D7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B0" w:rsidRDefault="00F638B0" w:rsidP="00DA21D7">
      <w:pPr>
        <w:spacing w:after="0" w:line="240" w:lineRule="auto"/>
      </w:pPr>
      <w:r>
        <w:separator/>
      </w:r>
    </w:p>
  </w:footnote>
  <w:footnote w:type="continuationSeparator" w:id="0">
    <w:p w:rsidR="00F638B0" w:rsidRDefault="00F638B0" w:rsidP="00DA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8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4737A7"/>
    <w:multiLevelType w:val="hybridMultilevel"/>
    <w:tmpl w:val="345AE552"/>
    <w:lvl w:ilvl="0" w:tplc="56601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254747"/>
    <w:multiLevelType w:val="hybridMultilevel"/>
    <w:tmpl w:val="C74EB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C1217B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0D46801"/>
    <w:multiLevelType w:val="hybridMultilevel"/>
    <w:tmpl w:val="1570EE9C"/>
    <w:lvl w:ilvl="0" w:tplc="8C74A7E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247D5"/>
    <w:rsid w:val="00054121"/>
    <w:rsid w:val="00057828"/>
    <w:rsid w:val="00062205"/>
    <w:rsid w:val="000730DB"/>
    <w:rsid w:val="00073966"/>
    <w:rsid w:val="00074E53"/>
    <w:rsid w:val="00100D3E"/>
    <w:rsid w:val="00116DE4"/>
    <w:rsid w:val="001607F5"/>
    <w:rsid w:val="001D3C66"/>
    <w:rsid w:val="001F4798"/>
    <w:rsid w:val="00212CC5"/>
    <w:rsid w:val="00250FD0"/>
    <w:rsid w:val="00254381"/>
    <w:rsid w:val="002D2527"/>
    <w:rsid w:val="002E2F94"/>
    <w:rsid w:val="002F79B1"/>
    <w:rsid w:val="003004AE"/>
    <w:rsid w:val="00361730"/>
    <w:rsid w:val="00385D51"/>
    <w:rsid w:val="003A0BE9"/>
    <w:rsid w:val="003A25C2"/>
    <w:rsid w:val="003C69EF"/>
    <w:rsid w:val="003C6D33"/>
    <w:rsid w:val="003D557F"/>
    <w:rsid w:val="00402EC9"/>
    <w:rsid w:val="00422414"/>
    <w:rsid w:val="004234BD"/>
    <w:rsid w:val="00440A2F"/>
    <w:rsid w:val="00447924"/>
    <w:rsid w:val="004A2F69"/>
    <w:rsid w:val="004D1F0A"/>
    <w:rsid w:val="004E4A34"/>
    <w:rsid w:val="00532F91"/>
    <w:rsid w:val="005D37CF"/>
    <w:rsid w:val="005F17F6"/>
    <w:rsid w:val="005F4CCF"/>
    <w:rsid w:val="00644FEF"/>
    <w:rsid w:val="006716F7"/>
    <w:rsid w:val="00683288"/>
    <w:rsid w:val="00691D0C"/>
    <w:rsid w:val="006A50C5"/>
    <w:rsid w:val="006C2319"/>
    <w:rsid w:val="006C2C49"/>
    <w:rsid w:val="006D0CB1"/>
    <w:rsid w:val="006D222C"/>
    <w:rsid w:val="006F3E03"/>
    <w:rsid w:val="0070305E"/>
    <w:rsid w:val="00703A28"/>
    <w:rsid w:val="00711C45"/>
    <w:rsid w:val="00714265"/>
    <w:rsid w:val="007464EB"/>
    <w:rsid w:val="00765AE0"/>
    <w:rsid w:val="00795C96"/>
    <w:rsid w:val="007E7E92"/>
    <w:rsid w:val="007F1924"/>
    <w:rsid w:val="007F27E3"/>
    <w:rsid w:val="00836602"/>
    <w:rsid w:val="00854FA0"/>
    <w:rsid w:val="00870ED6"/>
    <w:rsid w:val="008720F0"/>
    <w:rsid w:val="00884450"/>
    <w:rsid w:val="00887018"/>
    <w:rsid w:val="00896BB6"/>
    <w:rsid w:val="008A6340"/>
    <w:rsid w:val="008B3F03"/>
    <w:rsid w:val="008F57E0"/>
    <w:rsid w:val="00900DDF"/>
    <w:rsid w:val="00934DA4"/>
    <w:rsid w:val="00951393"/>
    <w:rsid w:val="00961D27"/>
    <w:rsid w:val="00967577"/>
    <w:rsid w:val="0099143B"/>
    <w:rsid w:val="009C0372"/>
    <w:rsid w:val="009D27B3"/>
    <w:rsid w:val="009D5C4F"/>
    <w:rsid w:val="009D7AB1"/>
    <w:rsid w:val="009F6C32"/>
    <w:rsid w:val="00A15B81"/>
    <w:rsid w:val="00A40CE5"/>
    <w:rsid w:val="00A5498E"/>
    <w:rsid w:val="00AA3CB9"/>
    <w:rsid w:val="00AC0EC8"/>
    <w:rsid w:val="00AC78C0"/>
    <w:rsid w:val="00AE5162"/>
    <w:rsid w:val="00AE6EE4"/>
    <w:rsid w:val="00B07AD3"/>
    <w:rsid w:val="00B27B98"/>
    <w:rsid w:val="00B81A0A"/>
    <w:rsid w:val="00BB50B4"/>
    <w:rsid w:val="00BD2302"/>
    <w:rsid w:val="00C16B67"/>
    <w:rsid w:val="00C33A16"/>
    <w:rsid w:val="00C42126"/>
    <w:rsid w:val="00C66B57"/>
    <w:rsid w:val="00CD130B"/>
    <w:rsid w:val="00CD69BE"/>
    <w:rsid w:val="00CF4023"/>
    <w:rsid w:val="00CF7AF1"/>
    <w:rsid w:val="00D04FFE"/>
    <w:rsid w:val="00D108D7"/>
    <w:rsid w:val="00D10B5C"/>
    <w:rsid w:val="00D66357"/>
    <w:rsid w:val="00DA0D38"/>
    <w:rsid w:val="00DA21D7"/>
    <w:rsid w:val="00DB2C8D"/>
    <w:rsid w:val="00DB4E47"/>
    <w:rsid w:val="00DD442E"/>
    <w:rsid w:val="00E10ED9"/>
    <w:rsid w:val="00E1519D"/>
    <w:rsid w:val="00E234D0"/>
    <w:rsid w:val="00E74100"/>
    <w:rsid w:val="00EB368E"/>
    <w:rsid w:val="00ED191F"/>
    <w:rsid w:val="00EE07A6"/>
    <w:rsid w:val="00EE743D"/>
    <w:rsid w:val="00EE78DA"/>
    <w:rsid w:val="00F0577F"/>
    <w:rsid w:val="00F06C50"/>
    <w:rsid w:val="00F1681E"/>
    <w:rsid w:val="00F23882"/>
    <w:rsid w:val="00F27B96"/>
    <w:rsid w:val="00F575EC"/>
    <w:rsid w:val="00F638B0"/>
    <w:rsid w:val="00F7285D"/>
    <w:rsid w:val="00FD285F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A21D7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A21D7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609A-A3E6-494D-ABED-DF819D92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54</cp:revision>
  <dcterms:created xsi:type="dcterms:W3CDTF">2021-08-25T03:23:00Z</dcterms:created>
  <dcterms:modified xsi:type="dcterms:W3CDTF">2022-04-20T02:08:00Z</dcterms:modified>
</cp:coreProperties>
</file>