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72" w:rsidRDefault="00870ED6" w:rsidP="009E5BC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</w:t>
      </w:r>
      <w:r w:rsidR="00654F18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4F18">
        <w:rPr>
          <w:rFonts w:ascii="Times New Roman" w:hAnsi="Times New Roman"/>
          <w:sz w:val="24"/>
          <w:szCs w:val="24"/>
          <w:lang w:val="ru-RU"/>
        </w:rPr>
        <w:t>2</w:t>
      </w:r>
      <w:r w:rsidR="00250FD0"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765AE0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года Председателем</w:t>
      </w:r>
      <w:r w:rsidR="00795C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4BD">
        <w:rPr>
          <w:rFonts w:ascii="Times New Roman" w:hAnsi="Times New Roman"/>
          <w:sz w:val="24"/>
          <w:szCs w:val="24"/>
          <w:lang w:val="ru-RU"/>
        </w:rPr>
        <w:t>Контрольн</w:t>
      </w:r>
      <w:r w:rsidR="003D557F">
        <w:rPr>
          <w:rFonts w:ascii="Times New Roman" w:hAnsi="Times New Roman"/>
          <w:sz w:val="24"/>
          <w:szCs w:val="24"/>
          <w:lang w:val="ru-RU"/>
        </w:rPr>
        <w:t>о-счетного органа было осуществлено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8D4">
        <w:rPr>
          <w:rFonts w:ascii="Times New Roman" w:hAnsi="Times New Roman"/>
          <w:sz w:val="24"/>
          <w:szCs w:val="24"/>
          <w:lang w:val="ru-RU"/>
        </w:rPr>
        <w:t>4</w:t>
      </w:r>
      <w:bookmarkStart w:id="0" w:name="_GoBack"/>
      <w:bookmarkEnd w:id="0"/>
      <w:r w:rsidR="00795C96">
        <w:rPr>
          <w:rFonts w:ascii="Times New Roman" w:hAnsi="Times New Roman"/>
          <w:sz w:val="24"/>
          <w:szCs w:val="24"/>
          <w:lang w:val="ru-RU"/>
        </w:rPr>
        <w:t xml:space="preserve"> экспертно-аналити</w:t>
      </w:r>
      <w:r w:rsidR="00836602">
        <w:rPr>
          <w:rFonts w:ascii="Times New Roman" w:hAnsi="Times New Roman"/>
          <w:sz w:val="24"/>
          <w:szCs w:val="24"/>
          <w:lang w:val="ru-RU"/>
        </w:rPr>
        <w:t>ческих мероприятия</w:t>
      </w:r>
      <w:r w:rsidR="00BB50B4">
        <w:rPr>
          <w:rFonts w:ascii="Times New Roman" w:hAnsi="Times New Roman"/>
          <w:sz w:val="24"/>
          <w:szCs w:val="24"/>
          <w:lang w:val="ru-RU"/>
        </w:rPr>
        <w:t>, а именно:</w:t>
      </w:r>
    </w:p>
    <w:p w:rsidR="009E5BC9" w:rsidRDefault="009E5BC9" w:rsidP="009E5BC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0372" w:rsidRPr="009C0372" w:rsidRDefault="009E5BC9" w:rsidP="009C0372">
      <w:pPr>
        <w:spacing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="009C0372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="009C0372" w:rsidRPr="009C037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ЗАКЛЮЧЕНИЕ</w:t>
      </w:r>
      <w:r w:rsidR="009C037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="009C0372" w:rsidRPr="009C037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по результатам экспертизы проекта решения Думы городского округа ЗАТО п. Горный «О внесении изменений в решение Думы городского округа ЗАТО </w:t>
      </w:r>
      <w:r w:rsidR="009F724B" w:rsidRPr="009C0372">
        <w:rPr>
          <w:rFonts w:ascii="Times New Roman" w:hAnsi="Times New Roman"/>
          <w:b/>
          <w:sz w:val="24"/>
          <w:szCs w:val="24"/>
          <w:lang w:val="ru-RU" w:eastAsia="ru-RU" w:bidi="ar-SA"/>
        </w:rPr>
        <w:t>п. Горный</w:t>
      </w:r>
      <w:r w:rsidR="009C0372" w:rsidRPr="009C037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«О бюджете городского округа ЗАТО п. Горный на 2022 год</w:t>
      </w:r>
      <w:r w:rsidR="009C037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="009C0372" w:rsidRPr="009C0372">
        <w:rPr>
          <w:rFonts w:ascii="Times New Roman" w:hAnsi="Times New Roman"/>
          <w:b/>
          <w:sz w:val="24"/>
          <w:szCs w:val="24"/>
          <w:lang w:val="ru-RU" w:eastAsia="ru-RU" w:bidi="ar-SA"/>
        </w:rPr>
        <w:t>и плановый период 2023 и 2024 годов»</w:t>
      </w:r>
    </w:p>
    <w:p w:rsidR="009F724B" w:rsidRPr="009F724B" w:rsidRDefault="009F724B" w:rsidP="009F724B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1. Контрольно-счетный орган отмечает, что в целом проект решения по структуре и по содержанию соответствует федеральному законодательству РФ и другим нормативным правовым актам, затрагивающим предмет его регулирования.</w:t>
      </w:r>
    </w:p>
    <w:p w:rsidR="009F724B" w:rsidRPr="009F724B" w:rsidRDefault="009F724B" w:rsidP="009F724B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2. Проектом решения предлагается:</w:t>
      </w:r>
    </w:p>
    <w:p w:rsidR="009F724B" w:rsidRPr="009F724B" w:rsidRDefault="009F724B" w:rsidP="009F724B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-общий объем доходов увеличится на 252,90 тыс. рублей, или на 0,1%, и составит 274 162,97 тыс. рублей;</w:t>
      </w:r>
    </w:p>
    <w:p w:rsidR="009F724B" w:rsidRPr="009F724B" w:rsidRDefault="009F724B" w:rsidP="009F724B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-общий объем расходов увеличится на 4 222,54 тыс. рублей, или на 1,5%, и составит 278 132,61 тыс. рублей;</w:t>
      </w:r>
    </w:p>
    <w:p w:rsidR="009F724B" w:rsidRPr="009F724B" w:rsidRDefault="009F724B" w:rsidP="009F724B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-дефицит бюджета составит 3 969,64 тыс. рублей.</w:t>
      </w:r>
    </w:p>
    <w:p w:rsidR="009F724B" w:rsidRPr="009F724B" w:rsidRDefault="009F724B" w:rsidP="009F724B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3. В доходной части бюджета городского </w:t>
      </w:r>
      <w:proofErr w:type="gramStart"/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округа</w:t>
      </w:r>
      <w:proofErr w:type="gramEnd"/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 ЗАТО п. Горный на 2022 год предлагается увеличить объем годовых бюджетных назначений по безвозмездным поступлениям на 252,90 тыс. рублей, объём средств составит 194 770,17 тыс. рублей.</w:t>
      </w:r>
    </w:p>
    <w:p w:rsidR="009F724B" w:rsidRPr="009F724B" w:rsidRDefault="009F724B" w:rsidP="009F724B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4.Проектом решения не вносятся изменения, затрагивающие увеличения или уменьшения ассигнований на реализацию муниципальных программ. </w:t>
      </w:r>
    </w:p>
    <w:p w:rsidR="009F724B" w:rsidRPr="009F724B" w:rsidRDefault="009F724B" w:rsidP="009F724B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5. В расходной части бюджета на 2022 год корректируются бюджетные ассигнования:</w:t>
      </w:r>
    </w:p>
    <w:p w:rsidR="009F724B" w:rsidRPr="009F724B" w:rsidRDefault="009F724B" w:rsidP="009F724B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- в сторону увеличения по 2 разделам бюджетной классификации расходов на общую сумму 4 222,54 тыс. рублей, а именно:</w:t>
      </w:r>
    </w:p>
    <w:p w:rsidR="009F724B" w:rsidRPr="009F724B" w:rsidRDefault="009F724B" w:rsidP="009F724B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«Общегосударственные вопросы» - на 3 969,64 тыс. рублей, или на 14,4%;</w:t>
      </w:r>
    </w:p>
    <w:p w:rsidR="009F724B" w:rsidRPr="009F724B" w:rsidRDefault="009F724B" w:rsidP="009F724B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«Национальная экономика» - на 252,90 тыс. рублей, или на 3,4%;</w:t>
      </w:r>
    </w:p>
    <w:p w:rsidR="009F724B" w:rsidRPr="009F724B" w:rsidRDefault="009F724B" w:rsidP="009F724B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6. В результате вносимых проектом решения изменений дефицит бюджета городского </w:t>
      </w:r>
      <w:proofErr w:type="gramStart"/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округа</w:t>
      </w:r>
      <w:proofErr w:type="gramEnd"/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 ЗАТО п. Горный на 2022 год не предусмотрен.</w:t>
      </w:r>
    </w:p>
    <w:p w:rsidR="000343A4" w:rsidRDefault="009F724B" w:rsidP="000343A4">
      <w:pPr>
        <w:tabs>
          <w:tab w:val="left" w:pos="9214"/>
        </w:tabs>
        <w:spacing w:after="0" w:line="360" w:lineRule="auto"/>
        <w:ind w:right="57" w:firstLine="0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Предложения:</w:t>
      </w:r>
    </w:p>
    <w:p w:rsidR="009F724B" w:rsidRPr="009F724B" w:rsidRDefault="000343A4" w:rsidP="000343A4">
      <w:pPr>
        <w:tabs>
          <w:tab w:val="left" w:pos="9214"/>
        </w:tabs>
        <w:spacing w:after="0" w:line="360" w:lineRule="auto"/>
        <w:ind w:right="57" w:firstLine="0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               </w:t>
      </w:r>
      <w:r w:rsidR="009F724B"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Контрольно-счетный орган полагает, что проект решения о внесении изменений в решение Думы городского </w:t>
      </w:r>
      <w:proofErr w:type="gramStart"/>
      <w:r w:rsidR="009F724B"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округа</w:t>
      </w:r>
      <w:proofErr w:type="gramEnd"/>
      <w:r w:rsidR="009F724B" w:rsidRPr="009F724B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 ЗАТО п. Горный от 16.12.2021 № 42 «О бюджете городского округа ЗАТО п. Горный на 2022 год и плановый период 2023 и 2024 годов», с внесенными изменениями может быть принят Думой городского округа ЗАТО п. Горный к рассмотрению.</w:t>
      </w:r>
    </w:p>
    <w:p w:rsidR="009E5BC9" w:rsidRDefault="009E5BC9" w:rsidP="00291FF1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7143C" w:rsidRDefault="0087143C" w:rsidP="00291FF1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92086" w:rsidRDefault="00D92086" w:rsidP="00291FF1">
      <w:pPr>
        <w:spacing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D92086" w:rsidRDefault="00D92086" w:rsidP="00924D89">
      <w:pPr>
        <w:spacing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lastRenderedPageBreak/>
        <w:t>2.</w:t>
      </w:r>
      <w:r w:rsidR="00924D89" w:rsidRPr="00924D89">
        <w:rPr>
          <w:lang w:val="ru-RU"/>
        </w:rPr>
        <w:t xml:space="preserve"> </w:t>
      </w:r>
      <w:r w:rsidR="00924D8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ЗАКЛЮЧЕНИЕ </w:t>
      </w:r>
      <w:r w:rsidR="00924D89" w:rsidRPr="00924D8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по результатам внешней проверки годового отчета об исполнении бюджета городского </w:t>
      </w:r>
      <w:proofErr w:type="gramStart"/>
      <w:r w:rsidR="00924D89" w:rsidRPr="00924D89">
        <w:rPr>
          <w:rFonts w:ascii="Times New Roman" w:hAnsi="Times New Roman"/>
          <w:b/>
          <w:sz w:val="24"/>
          <w:szCs w:val="24"/>
          <w:lang w:val="ru-RU" w:eastAsia="ru-RU" w:bidi="ar-SA"/>
        </w:rPr>
        <w:t>округа</w:t>
      </w:r>
      <w:proofErr w:type="gramEnd"/>
      <w:r w:rsidR="00924D89" w:rsidRPr="00924D8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ЗАТО п. Горный за 2021 год</w:t>
      </w:r>
      <w:r w:rsidR="00924D89">
        <w:rPr>
          <w:rFonts w:ascii="Times New Roman" w:hAnsi="Times New Roman"/>
          <w:b/>
          <w:sz w:val="24"/>
          <w:szCs w:val="24"/>
          <w:lang w:val="ru-RU" w:eastAsia="ru-RU" w:bidi="ar-SA"/>
        </w:rPr>
        <w:t>.</w:t>
      </w:r>
    </w:p>
    <w:p w:rsidR="00924D89" w:rsidRDefault="00924D89" w:rsidP="00924D89">
      <w:pPr>
        <w:spacing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ВЫВОДЫ: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1. Годовая бюджетная отчетность за 2021 год главным распорядителем средств бюджета городского </w:t>
      </w:r>
      <w:proofErr w:type="gram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представлена в установленные сроки.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2. В ходе проведения внешней проверки бюджетной отчётности главного распорядителя бюджетных средств установлено следующее: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2.1 Состав, порядок заполнения бюджетной отчетности соответствует требованиям приказа Минфина России от 28.12.2010 г. № 191н.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2.2 Бюджетная отчётность составлена нарастающим итогом с начала года, в рублях с точностью до второго десятичного знака после запятой, что соответствует предъявленным требованиям. Отдельные показатели, сформировавшиеся в бюджетном учёте с отрицательным значением, отражены в бюджетной отчётности со знаком «минус».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    </w:t>
      </w:r>
      <w:r w:rsidRPr="00924D89">
        <w:rPr>
          <w:rFonts w:ascii="Times New Roman" w:hAnsi="Times New Roman"/>
          <w:i/>
          <w:sz w:val="24"/>
          <w:szCs w:val="24"/>
          <w:lang w:val="ru-RU" w:eastAsia="ru-RU" w:bidi="ar-SA"/>
        </w:rPr>
        <w:t>2.3 При проверке контрольных соотношений взаимосвязанных показателей отдельных форм бюджетной отчетности, которые определены Федеральным казначейством, выявлено расхождение в нарушении требований п.53 Инструкции 191н, в части исполнения ф.0503127 источников финансирования дефицита бюджета - показатели по строке 500 раздела "Источники финансирования дефицита бюджета" в графах 5, 6, 7, 8 фактически не равны показателям, отраженным по строке 450 в графах 6, 7, 8, 9 соответственно, с противоположным знаком.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3. Годовой отчёт об исполнении бюджета городского </w:t>
      </w:r>
      <w:proofErr w:type="gram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за 2021 год представлен Комитетом по финансам администрации городского округа ЗАТО п. Горный в Контрольно-счетный орган городского округа ЗАТО п. Горный 28.03.2021 г. в соблюдении п.3 ст. 264.4 БК РФ.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4. На основании подпункта 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191н, в состав бюджетной отчетности включены все обязательные формы, </w:t>
      </w:r>
      <w:r w:rsidRPr="00924D89">
        <w:rPr>
          <w:rFonts w:ascii="Times New Roman" w:hAnsi="Times New Roman"/>
          <w:i/>
          <w:sz w:val="24"/>
          <w:szCs w:val="24"/>
          <w:lang w:val="ru-RU" w:eastAsia="ru-RU" w:bidi="ar-SA"/>
        </w:rPr>
        <w:t>но в</w:t>
      </w:r>
      <w:r w:rsidRPr="00924D89">
        <w:rPr>
          <w:rFonts w:ascii="Times New Roman" w:hAnsi="Times New Roman"/>
          <w:i/>
          <w:sz w:val="20"/>
          <w:szCs w:val="20"/>
          <w:lang w:val="ru-RU" w:eastAsia="ru-RU" w:bidi="ar-SA"/>
        </w:rPr>
        <w:t xml:space="preserve"> </w:t>
      </w:r>
      <w:r w:rsidRPr="00924D89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нарушении п.152 Инструкции 191н -Сведения об основных положениях учетной политики таблица №4 и Сведения о проведении инвентаризации таблица №5 относятся к 5 разделу «Прочие вопросы деятельности субъекта бюджетной отчетности».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5. Проведенная проверка годовой бюджетной отчетности городского </w:t>
      </w:r>
      <w:proofErr w:type="gram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за 2021 год позволяет сделать вывод о достоверности представленной отчетности.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6. В течение 2021 года внесение изменений в решение о бюджете городского </w:t>
      </w:r>
      <w:proofErr w:type="gram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на 2021 год и на плановый период 2022 и 2023 годов от 21.12.2020 года № 42 производилось три раза, в связи с изменением показателей по налоговым и неналоговым доходам и безвозмездным поступлениям в бюджет, а также в результате внесения уточнений в ходе исполнения бюджета. В результате: доходы увеличились на 78 589,07 тыс. рублей или на 40,5%, расходы увеличились на 84 178,3 тыс. рублей или на 43,4 %, от первоначального утвержденного бюджета.</w:t>
      </w:r>
      <w:r w:rsidRPr="00924D89">
        <w:rPr>
          <w:rFonts w:ascii="Times New Roman" w:hAnsi="Times New Roman"/>
          <w:color w:val="FF0000"/>
          <w:sz w:val="24"/>
          <w:szCs w:val="24"/>
          <w:lang w:val="ru-RU" w:eastAsia="ru-RU" w:bidi="ar-SA"/>
        </w:rPr>
        <w:t xml:space="preserve">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7. При проверке соответствия бюджетных назначений, утвержденных Решением Думы городского </w:t>
      </w:r>
      <w:proofErr w:type="gram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, бюджетным назначениям, отраженным в годовом отчете, расхождений не установлено.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8. Бюджет формировался преимущественно за счет безвозмездных поступлений. Доля безвозмездных поступлений в общем объеме доходов составила 202 018,19 тыс. рублей или 74,6 %, доля налоговых и неналоговых поступлений – 68 610,74 или 25,4 %.</w:t>
      </w:r>
      <w:r w:rsidRPr="00924D89">
        <w:rPr>
          <w:rFonts w:ascii="Times New Roman" w:hAnsi="Times New Roman"/>
          <w:color w:val="FF0000"/>
          <w:sz w:val="24"/>
          <w:szCs w:val="24"/>
          <w:lang w:val="ru-RU" w:eastAsia="ru-RU" w:bidi="ar-SA"/>
        </w:rPr>
        <w:t xml:space="preserve">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9. Доходная часть бюджета муниципального образования за 2021 год исполнена в сумме 270 628,93 тыс. рублей или на 99,3% от годовых бюджетных назначений 272 499,87 тыс. рублей.</w:t>
      </w:r>
    </w:p>
    <w:p w:rsidR="00924D89" w:rsidRPr="00924D89" w:rsidRDefault="00924D89" w:rsidP="00924D89">
      <w:pPr>
        <w:shd w:val="clear" w:color="auto" w:fill="FFFFFF"/>
        <w:tabs>
          <w:tab w:val="left" w:pos="133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10.Неисполненные назначения по доходам бюджета составили в размере 1 870,94 тыс. руб. сложилось по причинам перевыполнения бюджетных назначений по налоговым и неналоговым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доходам в размере 1 454,84 тыс. рублей и невыполнения бюджетных назначений по безвозмездным поступлениям в размере 3 325,78 тыс. руб.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11. </w:t>
      </w:r>
      <w:r w:rsidRPr="00924D89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Произведенный анализ исполнения налоговых и неналоговых доходов указывает на то, что собственные доходы бюджета по сравнению с аналогичным показателем 2020 года увеличились на сумму 8 035,27 тыс. рублей или на 13,3 %. Указанный подъём в разрезе доходных источников, в первую очередь, обеспечен увеличением поступлений </w:t>
      </w:r>
      <w:r w:rsidRPr="00924D89">
        <w:rPr>
          <w:rFonts w:ascii="Times New Roman" w:hAnsi="Times New Roman"/>
          <w:bCs/>
          <w:i/>
          <w:iCs/>
          <w:sz w:val="24"/>
          <w:szCs w:val="24"/>
          <w:lang w:val="ru-RU" w:eastAsia="ru-RU" w:bidi="ar-SA"/>
        </w:rPr>
        <w:t>налога на доходы физических лиц, д</w:t>
      </w:r>
      <w:r w:rsidRPr="00924D89">
        <w:rPr>
          <w:rFonts w:ascii="Times New Roman" w:hAnsi="Times New Roman"/>
          <w:i/>
          <w:sz w:val="24"/>
          <w:szCs w:val="24"/>
          <w:lang w:val="ru-RU" w:eastAsia="ru-RU" w:bidi="ar-SA"/>
        </w:rPr>
        <w:t>оходов от оказания платных услуг и компенсации затрат государства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12. При уточненных бюджетных назначениях в размере 205 343,97 тыс. рублей </w:t>
      </w:r>
      <w:r w:rsidRPr="00924D89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 xml:space="preserve">безвозмездные поступления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исполнены на 98,4% или на 202 018,19 тыс. рублей. В сравнении с 2020 годом безвозмездные поступления увеличились на 8 659,37 тыс. рублей.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13. При уточненных бюджетных назначениях в размере 278 089,10 тыс. рублей, исполнение бюджета по расходам составило 266 710,25 тыс. рублей или 95,9 % бюджетных назначений. Неисполненные ассигнования составили 11 378,85 тыс. рублей.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14. Бюджетные назначения исполнены почти в полном объеме по разделам расходов: «Национальная оборона» в размере 348,8 тыс. рублей- 100%, «Национальная безопасность и правоохранительная деятельность» в размере 4692,5 тыс. рублей - 99,3 %, «Образование» в сумме 209 548,20 тыс. рублей – 97,7%, «Физическая культура и спорт» в сумме 514,3 тыс. рублей или 97,0 %, «Национальная экономика» в размере 10 902,60 тыс. рублей – 95,0%, и «Социальная политика» в сумме 4292,4 тыс. рублей – 93,8%.</w:t>
      </w:r>
      <w:r w:rsidRPr="00924D89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Ниже других разделов классификации расходов бюджета исполнены расходы по разделам: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- «Общегосударственные расходы» в сумме 27 174,5 тыс. рублей или 90,6 %.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- «Жилищно-коммунальное хозяйство» в размере 8 608,10 тыс. рублей или 76,4%.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15. Расходы бюджета в 2021 году увеличились на 17 388,46 тыс. рублей в сравнении с 2020 годом. Основная причина увеличения в том, что в 2021 году возросли расходы на образование, а именно на предоставление общего образования детей и обеспечение государственных гарантий прав граждан на получение общедоступного и бесплатного общего образования в образовательных организациях и благоустройства городка, за счет национальных проектов и грантов.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16. Бюджет на 2021 год первоначально планировался без дефицита и профицита, фактически исполнен с профицитом в сумме 3 918,68 тыс. рублей.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17. Муниципальный долг городского </w:t>
      </w:r>
      <w:proofErr w:type="gram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по состоянию на 01.01.2022 года отсутствует.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18. По состоянию на 01.01.2021 года остаток средств на счёте бюджета городского </w:t>
      </w:r>
      <w:proofErr w:type="gram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открытом в Федеральном казначействе, составлял 9 835,69 тыс. рублей, за отчётный период остаток бюджетных средств увеличился на 3 918,68 тыс. рублей и на 01.01.2022 года составил 13 754,38 тыс. рублей.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19. Согласно данным Сведений по дебиторской и кредиторской задолженности (ф. 0503369) по состоянию на 01.01.2022 г. имеется </w:t>
      </w:r>
      <w:r w:rsidRPr="00924D89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 xml:space="preserve">дебиторская задолженность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в общей сумме 106,09 тыс. рублей. Объем дебиторской задолженности по сравнению с 2020 г. уменьшился на 84,63 тыс. рублей. </w:t>
      </w:r>
      <w:r w:rsidRPr="00924D89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 xml:space="preserve">Кредиторская задолженность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по состоянию на 01.01.2022 года составила 24,99 тыс. рублей. Объем кредиторской задолженности по сравнению с 2020 г. уменьшился на 8,7 тыс. рублей. Просроченная кредиторская задолженность отсутствует. 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20. Общая сумма расходов, произведенных в рамках реализации муниципальных программ в 2021 году составила 9 581,73 тыс. рублей или 99,0% от уточненных бюджетных ассигнований.</w:t>
      </w:r>
    </w:p>
    <w:p w:rsidR="00924D89" w:rsidRPr="00924D89" w:rsidRDefault="00924D89" w:rsidP="00924D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21. Проектом Решения Думы городского </w:t>
      </w:r>
      <w:proofErr w:type="gram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«Об исполнении бюджета городского округа ЗАТО </w:t>
      </w:r>
      <w:proofErr w:type="spell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за 2021 год» в соответствии со статьёй 264.6 Бюджетного кодекса Российской Федерации предложены к утверждению показатели исполнения бюджета 2021 года. Содержание статей проекта Решения, в целом, соответствует требованиям бюджетного законодательства, бюджетной отчетности за 2021 год. </w:t>
      </w:r>
    </w:p>
    <w:p w:rsidR="00924D89" w:rsidRPr="00924D89" w:rsidRDefault="00924D89" w:rsidP="00924D89">
      <w:pPr>
        <w:spacing w:after="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924D89" w:rsidRPr="00924D89" w:rsidRDefault="00924D89" w:rsidP="00924D89">
      <w:pPr>
        <w:spacing w:after="0" w:line="360" w:lineRule="auto"/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924D89">
        <w:rPr>
          <w:rFonts w:ascii="Times New Roman" w:hAnsi="Times New Roman"/>
          <w:b/>
          <w:sz w:val="24"/>
          <w:szCs w:val="24"/>
          <w:lang w:val="ru-RU" w:eastAsia="ru-RU" w:bidi="ar-SA"/>
        </w:rPr>
        <w:br w:type="page"/>
      </w:r>
      <w:r w:rsidRPr="00924D89">
        <w:rPr>
          <w:rFonts w:ascii="Times New Roman" w:hAnsi="Times New Roman"/>
          <w:b/>
          <w:sz w:val="24"/>
          <w:szCs w:val="24"/>
          <w:lang w:val="ru-RU" w:eastAsia="ru-RU" w:bidi="ar-SA"/>
        </w:rPr>
        <w:lastRenderedPageBreak/>
        <w:t>ПРЕДЛОЖЕНИЯ:</w:t>
      </w:r>
    </w:p>
    <w:p w:rsidR="00924D89" w:rsidRPr="00924D89" w:rsidRDefault="00924D89" w:rsidP="00924D89">
      <w:pPr>
        <w:shd w:val="clear" w:color="auto" w:fill="FFFFFF"/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924D89" w:rsidRPr="00924D89" w:rsidRDefault="00924D89" w:rsidP="00924D8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Администрации городского округа обратить внимание на необходимость проведения оценки эффективности реализуемых программ в части неукоснительного исполнения «Порядка разработки, реализации и оценки эффективности муниципальных программ городского </w:t>
      </w:r>
      <w:proofErr w:type="gram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Горный», реализуемых за счет средств бюджета городского округа ЗАТО </w:t>
      </w:r>
      <w:proofErr w:type="spell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», утвержденного Постановлением администрации городского округа от 17 февраля 2017 года № 18. </w:t>
      </w:r>
    </w:p>
    <w:p w:rsidR="00924D89" w:rsidRPr="00924D89" w:rsidRDefault="00924D89" w:rsidP="00924D8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Администрации городского округа повысить реализацию принципа результативности и эффективности использования бюджетных средств, установленного ст. 34 Бюджетного кодекса РФ.</w:t>
      </w:r>
    </w:p>
    <w:p w:rsidR="00924D89" w:rsidRPr="00924D89" w:rsidRDefault="00924D89" w:rsidP="00924D8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Комитету по финансам городского округа </w:t>
      </w:r>
      <w:r w:rsidRPr="00924D89">
        <w:rPr>
          <w:rFonts w:ascii="Times New Roman" w:hAnsi="Times New Roman"/>
          <w:sz w:val="20"/>
          <w:szCs w:val="20"/>
          <w:lang w:val="ru-RU" w:eastAsia="ru-RU" w:bidi="ar-SA"/>
        </w:rPr>
        <w:t>р</w:t>
      </w: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екомендовано усилить контроль над сбором налогов и платежей в бюджет городского </w:t>
      </w:r>
      <w:proofErr w:type="gram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924D89" w:rsidRPr="00924D89" w:rsidRDefault="00924D89" w:rsidP="00924D8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Комитету по финансам городского округа принимать меры к снижению уровня кредиторской и дебиторской задолженности муниципальных бюджетных организаций.</w:t>
      </w:r>
    </w:p>
    <w:p w:rsidR="00924D89" w:rsidRPr="00924D89" w:rsidRDefault="00924D89" w:rsidP="00924D8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Думе городского </w:t>
      </w:r>
      <w:proofErr w:type="gram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при рассмотрении годового отчета об исполнении бюджета городского округа ЗАТО п. Горный за 2021 год руководствоваться Положением о бюджетном устройстве и бюджетном процессе в городском округе ЗАТО п. Горный» утвержденным решением Думы городского округа ЗАТО </w:t>
      </w:r>
      <w:proofErr w:type="spellStart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924D89">
        <w:rPr>
          <w:rFonts w:ascii="Times New Roman" w:hAnsi="Times New Roman"/>
          <w:sz w:val="24"/>
          <w:szCs w:val="24"/>
          <w:lang w:val="ru-RU" w:eastAsia="ru-RU" w:bidi="ar-SA"/>
        </w:rPr>
        <w:t xml:space="preserve"> от 26.11.2020 № 35. </w:t>
      </w:r>
    </w:p>
    <w:p w:rsidR="00D92086" w:rsidRDefault="00D92086" w:rsidP="00291FF1">
      <w:pPr>
        <w:spacing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D92086" w:rsidRDefault="00D92086" w:rsidP="00291FF1">
      <w:pPr>
        <w:spacing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F60942" w:rsidRPr="00F60942" w:rsidRDefault="00F60942" w:rsidP="00F60942">
      <w:pPr>
        <w:spacing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3. ЗАКЛЮЧЕНИЕ </w:t>
      </w:r>
      <w:r w:rsidRPr="00F6094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на отчет об исполнении бюджета городского </w:t>
      </w:r>
      <w:proofErr w:type="gramStart"/>
      <w:r w:rsidRPr="00F60942">
        <w:rPr>
          <w:rFonts w:ascii="Times New Roman" w:hAnsi="Times New Roman"/>
          <w:b/>
          <w:sz w:val="24"/>
          <w:szCs w:val="24"/>
          <w:lang w:val="ru-RU" w:eastAsia="ru-RU" w:bidi="ar-SA"/>
        </w:rPr>
        <w:t>округа</w:t>
      </w:r>
      <w:proofErr w:type="gramEnd"/>
      <w:r w:rsidRPr="00F6094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ЗАТО </w:t>
      </w:r>
      <w:r w:rsidRPr="00F60942">
        <w:rPr>
          <w:rFonts w:ascii="Times New Roman" w:hAnsi="Times New Roman"/>
          <w:b/>
          <w:sz w:val="24"/>
          <w:szCs w:val="24"/>
          <w:lang w:val="ru-RU" w:eastAsia="ru-RU" w:bidi="ar-SA"/>
        </w:rPr>
        <w:t>п. Горный</w:t>
      </w:r>
      <w:r w:rsidRPr="00F6094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</w:p>
    <w:p w:rsidR="00D92086" w:rsidRDefault="00F60942" w:rsidP="00F60942">
      <w:pPr>
        <w:spacing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b/>
          <w:sz w:val="24"/>
          <w:szCs w:val="24"/>
          <w:lang w:val="ru-RU" w:eastAsia="ru-RU" w:bidi="ar-SA"/>
        </w:rPr>
        <w:t>за 1 квартал 2022 год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.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b/>
          <w:sz w:val="24"/>
          <w:szCs w:val="24"/>
          <w:lang w:val="ru-RU" w:eastAsia="ru-RU" w:bidi="ar-SA"/>
        </w:rPr>
        <w:t>ВЫВОДЫ: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   1.Годовая бюджетная отчетность за 1 квартал 2022 год главным распорядителем средств бюджета городского </w:t>
      </w:r>
      <w:proofErr w:type="gramStart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представлена в установленные сроки. 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   2.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191н, в состав бюджетной отчетности включены все обязательные формы. 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F60942">
        <w:rPr>
          <w:rFonts w:ascii="Times New Roman" w:eastAsia="Calibri" w:hAnsi="Times New Roman"/>
          <w:sz w:val="24"/>
          <w:szCs w:val="24"/>
          <w:lang w:val="ru-RU" w:bidi="ar-SA"/>
        </w:rPr>
        <w:t xml:space="preserve">   3.</w:t>
      </w:r>
      <w:r w:rsidRPr="00F60942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В течение 1 квартала года было принято одно решение Думы городского </w:t>
      </w:r>
      <w:proofErr w:type="gramStart"/>
      <w:r w:rsidRPr="00F60942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округа</w:t>
      </w:r>
      <w:proofErr w:type="gramEnd"/>
      <w:r w:rsidRPr="00F60942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ЗАТО </w:t>
      </w:r>
      <w:proofErr w:type="spellStart"/>
      <w:r w:rsidRPr="00F60942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п.Горный</w:t>
      </w:r>
      <w:proofErr w:type="spellEnd"/>
      <w:r w:rsidRPr="00F60942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по внесению изменений в решение Думы городского округа ЗАТО п. Горный от 16.12.2021 г. № 42 «О бюджете городского округа ЗАТО п. Горный на 2022 год и на плановый период 2023 и 2024 годов», в результате которых были скорректированы плановые показатели бюджета, включая основные характеристики.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F60942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 Уточненные бюджетные ассигнования в 1 квартале 2022 году увеличились относительно первоначального плана: 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F60942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- по доходам - на 49 933,87 тыс. рублей, или на 22,3 %, в том числе по налоговым и неналоговым доходам увеличились на 2 742,50 тыс. рублей, или на 3,6 %, по безвозмездным поступлениям – на 47 191,37 тыс. руб., или на 32,0 %; 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F60942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- по расходам – на 49 933,87 тыс. рублей или на 22,3 %. 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F60942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- дефицит бюджета составил 0,00 тыс. рублей.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   4. Доходная часть бюджета муниципального образования за 1 квартал 2022 год исполнена в сумме 49 144,69 тыс. рублей или на 17,9% к утвержденным бюджетной росписью годовым бюджетным ассигнованиям в размере 274 162,97 тыс. рублей.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    5. Расходная часть бюджета муниципального образования за 1 квартал 2022 год исполнена в сумме 56 677,97 тыс. рублей или на 20,7% к утвержденным бюджетной росписью годовым бюджетным ассигнованиям в размере 274 162,97 тыс. рублей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   6. Бюджетные назначения за 1 квартал 2022 года исполнены почти в полном объеме по разделам расходов: «Социальная политика» в сумме 1 244,71 тыс. рублей или 27,7%, «Национальная безопасность и правоохранительная деятельность» в размере 1 194,54 тыс. рублей или 24,3%, «Образование» в сумме 47 161,82 тыс. рублей или 20,6 %, и «Общегосударственные расходы» в сумме 5 458,69 тыс. рублей или 19 %.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  Ниже других разделов классификации расходов бюджета исполнены расходы по разделам: 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- «Физическая культура и спорт» в сумме 97,88 тыс. рублей или 11,3 %;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- «Национальная оборона» в размере 61,49 тыс. рублей или 3,6%,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- «Жилищно-коммунальное хозяйство» в размере 1 363,51 тыс. рублей или 1,7%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- «Национальная экономика» в размере 95,33 тыс. рублей или 0,8%,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По разделу «Здравоохранение» расходы не производились.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     7. Бюджет городского </w:t>
      </w:r>
      <w:proofErr w:type="gramStart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2022 год и плановый период 2023 и 2024 годы первоначально планировался без дефицита и профицита, фактически исполнен за 1 квартал с дефицитом в сумме 7 533,28 тыс. рублей. 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   8. Муниципальный долг городского </w:t>
      </w:r>
      <w:proofErr w:type="gramStart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по состоянию на 01.04.2022 года отсутствует. 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   9. Согласно данным Сведений по дебиторской и кредиторской задолженности (ф. 0503369) по состоянию на 01.04.2022 г. имеется </w:t>
      </w:r>
      <w:r w:rsidRPr="00F60942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 xml:space="preserve">дебиторская задолженность </w:t>
      </w: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в общей сумме 99,23 тыс. рублей. </w:t>
      </w:r>
      <w:r w:rsidRPr="00F60942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 xml:space="preserve">Кредиторская задолженность </w:t>
      </w: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по состоянию на 01.04.2022 года составила 24,99 тыс. рублей. Просроченная кредиторская задолженность отсутствует. 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  10. Общая сумма расходов, произведенных в рамках реализации муниципальных программ в 1 квартале 2022 года составила 550,54 тыс. рублей или 2,7% от уточненных бюджетных ассигнований, что свидетельствует о низком качестве планирования Администрацией городского </w:t>
      </w:r>
      <w:proofErr w:type="gramStart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исполнения программных мероприятий в году.</w:t>
      </w:r>
    </w:p>
    <w:p w:rsidR="00F60942" w:rsidRPr="00F60942" w:rsidRDefault="00F60942" w:rsidP="00F6094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  11. Проектом Решения Думы городского </w:t>
      </w:r>
      <w:proofErr w:type="gramStart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«Об исполнении бюджета городского округа ЗАТО </w:t>
      </w:r>
      <w:proofErr w:type="spellStart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за первый квартал 2022 год» в соответствии со статьёй 264.6 Бюджетного кодекса Российской Федерации предложены к утверждению показатели исполнения бюджета 1 квартала 2022 года. Содержание статей проекта Решения, в целом, соответствует требованиям бюджетного законодательства, бюджетной отчетности за 1 квартал 2022 год. </w:t>
      </w:r>
    </w:p>
    <w:p w:rsidR="00F60942" w:rsidRPr="00F60942" w:rsidRDefault="00F60942" w:rsidP="00F60942">
      <w:pPr>
        <w:spacing w:after="0" w:line="360" w:lineRule="auto"/>
        <w:ind w:firstLine="0"/>
        <w:jc w:val="center"/>
        <w:rPr>
          <w:rFonts w:ascii="Times New Roman" w:hAnsi="Times New Roman"/>
          <w:b/>
          <w:color w:val="FF0000"/>
          <w:sz w:val="24"/>
          <w:szCs w:val="24"/>
          <w:lang w:val="ru-RU" w:eastAsia="ru-RU" w:bidi="ar-SA"/>
        </w:rPr>
      </w:pPr>
    </w:p>
    <w:p w:rsidR="00F60942" w:rsidRPr="00F60942" w:rsidRDefault="00F60942" w:rsidP="00F60942">
      <w:pPr>
        <w:spacing w:after="0" w:line="360" w:lineRule="auto"/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b/>
          <w:sz w:val="24"/>
          <w:szCs w:val="24"/>
          <w:lang w:val="ru-RU" w:eastAsia="ru-RU" w:bidi="ar-SA"/>
        </w:rPr>
        <w:t>ПРЕДЛОЖЕНИЯ:</w:t>
      </w:r>
    </w:p>
    <w:p w:rsidR="00F60942" w:rsidRPr="00F60942" w:rsidRDefault="00F60942" w:rsidP="00F60942">
      <w:pPr>
        <w:shd w:val="clear" w:color="auto" w:fill="FFFFFF"/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F60942" w:rsidRPr="00F60942" w:rsidRDefault="00F60942" w:rsidP="00F6094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Администрации городского округа обратить внимание на необходимость проведения оценки эффективности реализуемых программ в части неукоснительного исполнения «Порядка разработки, реализации и оценки эффективности муниципальных программ городского </w:t>
      </w:r>
      <w:proofErr w:type="gramStart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Горный», реализуемых за счет средств бюджета городского округа ЗАТО </w:t>
      </w:r>
      <w:proofErr w:type="spellStart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», утвержденного Постановлением администрации городского округа от 17 февраля 2017 года № 18. </w:t>
      </w:r>
    </w:p>
    <w:p w:rsidR="00F60942" w:rsidRPr="00F60942" w:rsidRDefault="00F60942" w:rsidP="00F6094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>Администрации городского округа повысить реализацию принципа результативности и эффективности использования бюджетных средств, установленного ст. 34 Бюджетного кодекса РФ.</w:t>
      </w:r>
    </w:p>
    <w:p w:rsidR="00F60942" w:rsidRPr="00F60942" w:rsidRDefault="00F60942" w:rsidP="00F6094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Комитету по финансам городского округа рекомендовано усилить контроль над сбором налогов и платежей в бюджет городского </w:t>
      </w:r>
      <w:proofErr w:type="gramStart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и </w:t>
      </w:r>
      <w:r w:rsidRPr="00F60942">
        <w:rPr>
          <w:rFonts w:ascii="Times New Roman" w:hAnsi="Times New Roman"/>
          <w:sz w:val="24"/>
          <w:szCs w:val="20"/>
          <w:lang w:val="ru-RU" w:eastAsia="ru-RU" w:bidi="ar-SA"/>
        </w:rPr>
        <w:t xml:space="preserve">провести работу по анализу поступления доходов (налоговых и иных платежей) в бюджет городского округа ЗАТО </w:t>
      </w:r>
      <w:proofErr w:type="spellStart"/>
      <w:r w:rsidRPr="00F60942">
        <w:rPr>
          <w:rFonts w:ascii="Times New Roman" w:hAnsi="Times New Roman"/>
          <w:sz w:val="24"/>
          <w:szCs w:val="20"/>
          <w:lang w:val="ru-RU" w:eastAsia="ru-RU" w:bidi="ar-SA"/>
        </w:rPr>
        <w:t>п.Горный</w:t>
      </w:r>
      <w:proofErr w:type="spellEnd"/>
      <w:r w:rsidRPr="00F60942">
        <w:rPr>
          <w:rFonts w:ascii="Times New Roman" w:hAnsi="Times New Roman"/>
          <w:sz w:val="24"/>
          <w:szCs w:val="20"/>
          <w:lang w:val="ru-RU" w:eastAsia="ru-RU" w:bidi="ar-SA"/>
        </w:rPr>
        <w:t>.</w:t>
      </w:r>
    </w:p>
    <w:p w:rsidR="00F60942" w:rsidRPr="00F60942" w:rsidRDefault="00F60942" w:rsidP="00F6094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Комитету по финансам городского округа принимать меры к снижению уровня кредиторской и дебиторской задолженности в муниципальных казенных и бюджетных организаций.</w:t>
      </w:r>
    </w:p>
    <w:p w:rsidR="00F60942" w:rsidRPr="00F60942" w:rsidRDefault="00F60942" w:rsidP="00F6094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Контрольно-счетный орган полагает, что проект решения «Об исполнении бюджета городского </w:t>
      </w:r>
      <w:proofErr w:type="gramStart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>п. Горный</w:t>
      </w: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за первый квартал 2022 год» может быть принят Думой городского округа ЗАТО </w:t>
      </w: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>п. Горный</w:t>
      </w:r>
      <w:r w:rsidRPr="00F60942">
        <w:rPr>
          <w:rFonts w:ascii="Times New Roman" w:hAnsi="Times New Roman"/>
          <w:sz w:val="24"/>
          <w:szCs w:val="24"/>
          <w:lang w:val="ru-RU" w:eastAsia="ru-RU" w:bidi="ar-SA"/>
        </w:rPr>
        <w:t xml:space="preserve"> к рассмотрению.</w:t>
      </w:r>
    </w:p>
    <w:p w:rsidR="00F60942" w:rsidRPr="00F60942" w:rsidRDefault="00F60942" w:rsidP="00F609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92086" w:rsidRDefault="00D92086" w:rsidP="00291FF1">
      <w:pPr>
        <w:spacing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9E5BC9" w:rsidRPr="0087143C" w:rsidRDefault="00F60942" w:rsidP="00F60942">
      <w:pPr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4</w:t>
      </w:r>
      <w:r w:rsidR="0087143C" w:rsidRPr="0087143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. ЗАКЛЮЧЕНИЕ по результатам экспертизы проекта решения Думы городского </w:t>
      </w:r>
      <w:proofErr w:type="gramStart"/>
      <w:r w:rsidR="0087143C" w:rsidRPr="0087143C">
        <w:rPr>
          <w:rFonts w:ascii="Times New Roman" w:hAnsi="Times New Roman"/>
          <w:b/>
          <w:sz w:val="24"/>
          <w:szCs w:val="24"/>
          <w:lang w:val="ru-RU" w:eastAsia="ru-RU" w:bidi="ar-SA"/>
        </w:rPr>
        <w:t>округа</w:t>
      </w:r>
      <w:proofErr w:type="gramEnd"/>
      <w:r w:rsidR="0087143C" w:rsidRPr="0087143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ЗАТО п. Горный «О внесении изменений в решение Думы городского округа ЗАТО п. Горный «О бюджете городского округа ЗАТО п. Горный на 2022 год и плановый период 2023 и 2024 годов»</w:t>
      </w:r>
    </w:p>
    <w:p w:rsidR="008A5725" w:rsidRPr="008A5725" w:rsidRDefault="008A5725" w:rsidP="008A5725">
      <w:pPr>
        <w:spacing w:line="240" w:lineRule="auto"/>
        <w:ind w:firstLine="357"/>
        <w:jc w:val="both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1. Контрольно-счетный орган отмечает, что в целом проект решения по структуре и по содержанию соответствует федеральному законодательству РФ и другим нормативным правовым актам, затрагивающим предмет его регулирования.</w:t>
      </w:r>
    </w:p>
    <w:p w:rsidR="008A5725" w:rsidRPr="008A5725" w:rsidRDefault="008A5725" w:rsidP="008A5725">
      <w:pPr>
        <w:spacing w:line="240" w:lineRule="auto"/>
        <w:ind w:firstLine="357"/>
        <w:jc w:val="both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2. Проектом решения предлагается:</w:t>
      </w:r>
    </w:p>
    <w:p w:rsidR="008A5725" w:rsidRPr="008A5725" w:rsidRDefault="008A5725" w:rsidP="008A5725">
      <w:pPr>
        <w:spacing w:line="240" w:lineRule="auto"/>
        <w:ind w:firstLine="357"/>
        <w:jc w:val="both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-общий объем доходов увеличится на 15 230,00 тыс. рублей, или на 5,6%, и составит 289 392,97 тыс. рублей;</w:t>
      </w:r>
    </w:p>
    <w:p w:rsidR="008A5725" w:rsidRPr="008A5725" w:rsidRDefault="008A5725" w:rsidP="008A5725">
      <w:pPr>
        <w:spacing w:line="240" w:lineRule="auto"/>
        <w:ind w:firstLine="357"/>
        <w:jc w:val="both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-общий объем расходов увеличится на 19 742,84 тыс. рублей, или на 7,1%, и составит 297 875,45 тыс. рублей;</w:t>
      </w:r>
    </w:p>
    <w:p w:rsidR="008A5725" w:rsidRPr="008A5725" w:rsidRDefault="008A5725" w:rsidP="008A5725">
      <w:pPr>
        <w:spacing w:line="240" w:lineRule="auto"/>
        <w:ind w:firstLine="357"/>
        <w:jc w:val="both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-дефицит бюджета составит 8 482,48 тыс. рублей.</w:t>
      </w:r>
    </w:p>
    <w:p w:rsidR="008A5725" w:rsidRPr="008A5725" w:rsidRDefault="008A5725" w:rsidP="008A5725">
      <w:pPr>
        <w:spacing w:line="240" w:lineRule="auto"/>
        <w:ind w:firstLine="357"/>
        <w:jc w:val="both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 xml:space="preserve">3. В доходной части бюджета городского </w:t>
      </w:r>
      <w:proofErr w:type="gramStart"/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округа</w:t>
      </w:r>
      <w:proofErr w:type="gramEnd"/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 xml:space="preserve"> ЗАТО п. Горный на 2022 год предлагается увеличить объем годовых бюджетных назначений по безвозмездным поступлениям на 15 000,00 тыс. рублей, объём средств составит 209 770,17 тыс. рублей, налоговые и неналоговые доходы на сумму 230,00 тыс. рублей, которые составят 79 622,80 тыс. рублей.</w:t>
      </w:r>
    </w:p>
    <w:p w:rsidR="008A5725" w:rsidRPr="008A5725" w:rsidRDefault="008A5725" w:rsidP="008A5725">
      <w:pPr>
        <w:spacing w:line="240" w:lineRule="auto"/>
        <w:ind w:firstLine="357"/>
        <w:jc w:val="both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4. В расходной части бюджета на 2022 год корректируются бюджетные ассигнования:</w:t>
      </w:r>
    </w:p>
    <w:p w:rsidR="008A5725" w:rsidRPr="008A5725" w:rsidRDefault="008A5725" w:rsidP="008A5725">
      <w:pPr>
        <w:spacing w:line="240" w:lineRule="auto"/>
        <w:ind w:firstLine="357"/>
        <w:jc w:val="both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- в сторону увеличения по 6 разделам бюджетной классификации расходов на общую сумму 19 742,83 тыс. рублей, а именно:</w:t>
      </w:r>
    </w:p>
    <w:p w:rsidR="008A5725" w:rsidRPr="008A5725" w:rsidRDefault="008A5725" w:rsidP="008A5725">
      <w:pPr>
        <w:spacing w:line="240" w:lineRule="auto"/>
        <w:ind w:firstLine="357"/>
        <w:jc w:val="both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«Общегосударственные вопросы» - на 1 317,10 тыс. рублей, или на 4,2%;</w:t>
      </w:r>
    </w:p>
    <w:p w:rsidR="008A5725" w:rsidRPr="008A5725" w:rsidRDefault="008A5725" w:rsidP="008A5725">
      <w:pPr>
        <w:spacing w:line="240" w:lineRule="auto"/>
        <w:ind w:firstLine="357"/>
        <w:jc w:val="both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 xml:space="preserve"> «Национальная безопасность и правоохранительная деятельность» - на 206,60 тыс. рублей или на 3,5%;</w:t>
      </w:r>
    </w:p>
    <w:p w:rsidR="008A5725" w:rsidRPr="008A5725" w:rsidRDefault="008A5725" w:rsidP="008A5725">
      <w:pPr>
        <w:spacing w:line="240" w:lineRule="auto"/>
        <w:ind w:firstLine="357"/>
        <w:jc w:val="both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«Жилищно-коммунальное хозяйство» - на 15 573,98 тыс. рублей или на 50,5%;</w:t>
      </w:r>
    </w:p>
    <w:p w:rsidR="008A5725" w:rsidRPr="008A5725" w:rsidRDefault="008A5725" w:rsidP="008A5725">
      <w:pPr>
        <w:spacing w:line="240" w:lineRule="auto"/>
        <w:ind w:firstLine="357"/>
        <w:jc w:val="both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«Образование» -  на 2 340,14 тыс. рублей, или на 1,2%</w:t>
      </w:r>
    </w:p>
    <w:p w:rsidR="008A5725" w:rsidRPr="008A5725" w:rsidRDefault="008A5725" w:rsidP="008A5725">
      <w:pPr>
        <w:spacing w:line="240" w:lineRule="auto"/>
        <w:ind w:firstLine="357"/>
        <w:jc w:val="both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«Социальная политика» - на 305,01 тыс. рублей, или на 5,6%;</w:t>
      </w:r>
    </w:p>
    <w:p w:rsidR="008A5725" w:rsidRPr="008A5725" w:rsidRDefault="008A5725" w:rsidP="008A5725">
      <w:pPr>
        <w:spacing w:line="240" w:lineRule="auto"/>
        <w:ind w:firstLine="357"/>
        <w:jc w:val="both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 xml:space="preserve">5. В результате вносимых проектом решения изменений дефицит бюджета городского </w:t>
      </w:r>
      <w:proofErr w:type="gramStart"/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округа</w:t>
      </w:r>
      <w:proofErr w:type="gramEnd"/>
      <w:r w:rsidRPr="008A5725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 xml:space="preserve"> ЗАТО п. Горный на 2022 год предусмотрен в размере 8 482,48 тыс. рублей, за счет изменения остатков денежных средств на счете бюджета городского округа.</w:t>
      </w:r>
    </w:p>
    <w:p w:rsidR="00F60942" w:rsidRDefault="00F60942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73966" w:rsidRPr="00073966" w:rsidRDefault="00073966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>Председатель Контрольно-счетного органа</w:t>
      </w:r>
    </w:p>
    <w:p w:rsidR="00073966" w:rsidRPr="00073966" w:rsidRDefault="00073966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 xml:space="preserve">городского </w:t>
      </w:r>
      <w:proofErr w:type="gramStart"/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                                                            </w:t>
      </w:r>
      <w:proofErr w:type="spellStart"/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>В.А.Шурманова</w:t>
      </w:r>
      <w:proofErr w:type="spellEnd"/>
    </w:p>
    <w:sectPr w:rsidR="00073966" w:rsidRPr="00073966" w:rsidSect="00691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D2" w:rsidRDefault="000518D2" w:rsidP="00DA21D7">
      <w:pPr>
        <w:spacing w:after="0" w:line="240" w:lineRule="auto"/>
      </w:pPr>
      <w:r>
        <w:separator/>
      </w:r>
    </w:p>
  </w:endnote>
  <w:endnote w:type="continuationSeparator" w:id="0">
    <w:p w:rsidR="000518D2" w:rsidRDefault="000518D2" w:rsidP="00DA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985604"/>
      <w:docPartObj>
        <w:docPartGallery w:val="Page Numbers (Bottom of Page)"/>
        <w:docPartUnique/>
      </w:docPartObj>
    </w:sdtPr>
    <w:sdtEndPr/>
    <w:sdtContent>
      <w:p w:rsidR="00DA21D7" w:rsidRDefault="00DA21D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8D4" w:rsidRPr="004E68D4">
          <w:rPr>
            <w:noProof/>
            <w:lang w:val="ru-RU"/>
          </w:rPr>
          <w:t>6</w:t>
        </w:r>
        <w:r>
          <w:fldChar w:fldCharType="end"/>
        </w:r>
      </w:p>
    </w:sdtContent>
  </w:sdt>
  <w:p w:rsidR="00DA21D7" w:rsidRDefault="00DA21D7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D2" w:rsidRDefault="000518D2" w:rsidP="00DA21D7">
      <w:pPr>
        <w:spacing w:after="0" w:line="240" w:lineRule="auto"/>
      </w:pPr>
      <w:r>
        <w:separator/>
      </w:r>
    </w:p>
  </w:footnote>
  <w:footnote w:type="continuationSeparator" w:id="0">
    <w:p w:rsidR="000518D2" w:rsidRDefault="000518D2" w:rsidP="00DA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B80"/>
    <w:multiLevelType w:val="hybridMultilevel"/>
    <w:tmpl w:val="3B7674B6"/>
    <w:lvl w:ilvl="0" w:tplc="877E4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CB634D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4737A7"/>
    <w:multiLevelType w:val="hybridMultilevel"/>
    <w:tmpl w:val="345AE552"/>
    <w:lvl w:ilvl="0" w:tplc="56601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9C71F8"/>
    <w:multiLevelType w:val="hybridMultilevel"/>
    <w:tmpl w:val="7D26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2384B"/>
    <w:multiLevelType w:val="hybridMultilevel"/>
    <w:tmpl w:val="B88E9B9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254747"/>
    <w:multiLevelType w:val="hybridMultilevel"/>
    <w:tmpl w:val="C74EB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21206"/>
    <w:multiLevelType w:val="hybridMultilevel"/>
    <w:tmpl w:val="9262496A"/>
    <w:lvl w:ilvl="0" w:tplc="6096AEB6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C1217B0"/>
    <w:multiLevelType w:val="hybridMultilevel"/>
    <w:tmpl w:val="3B7674B6"/>
    <w:lvl w:ilvl="0" w:tplc="877E4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813F5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0D46801"/>
    <w:multiLevelType w:val="hybridMultilevel"/>
    <w:tmpl w:val="1570EE9C"/>
    <w:lvl w:ilvl="0" w:tplc="8C74A7E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0E574C3"/>
    <w:multiLevelType w:val="hybridMultilevel"/>
    <w:tmpl w:val="81BE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8000E"/>
    <w:multiLevelType w:val="hybridMultilevel"/>
    <w:tmpl w:val="5CCA2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E2023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247D5"/>
    <w:rsid w:val="000343A4"/>
    <w:rsid w:val="000518D2"/>
    <w:rsid w:val="00054121"/>
    <w:rsid w:val="00057828"/>
    <w:rsid w:val="00062205"/>
    <w:rsid w:val="000730DB"/>
    <w:rsid w:val="00073966"/>
    <w:rsid w:val="00074E53"/>
    <w:rsid w:val="00100D3E"/>
    <w:rsid w:val="00116DE4"/>
    <w:rsid w:val="001607F5"/>
    <w:rsid w:val="001D3C66"/>
    <w:rsid w:val="001F4798"/>
    <w:rsid w:val="00212CC5"/>
    <w:rsid w:val="00250FD0"/>
    <w:rsid w:val="00254381"/>
    <w:rsid w:val="00291FF1"/>
    <w:rsid w:val="002D2527"/>
    <w:rsid w:val="002E2F94"/>
    <w:rsid w:val="002F79B1"/>
    <w:rsid w:val="003004AE"/>
    <w:rsid w:val="00341122"/>
    <w:rsid w:val="00361730"/>
    <w:rsid w:val="00385D51"/>
    <w:rsid w:val="003A0BE9"/>
    <w:rsid w:val="003A25C2"/>
    <w:rsid w:val="003C69EF"/>
    <w:rsid w:val="003C6D33"/>
    <w:rsid w:val="003D557F"/>
    <w:rsid w:val="00402EC9"/>
    <w:rsid w:val="00422414"/>
    <w:rsid w:val="004234BD"/>
    <w:rsid w:val="004344CB"/>
    <w:rsid w:val="00440A2F"/>
    <w:rsid w:val="00447924"/>
    <w:rsid w:val="004A2F69"/>
    <w:rsid w:val="004D1F0A"/>
    <w:rsid w:val="004E4A34"/>
    <w:rsid w:val="004E68D4"/>
    <w:rsid w:val="00532F91"/>
    <w:rsid w:val="005D37CF"/>
    <w:rsid w:val="005E4212"/>
    <w:rsid w:val="005F17F6"/>
    <w:rsid w:val="005F4CCF"/>
    <w:rsid w:val="00644FEF"/>
    <w:rsid w:val="00654F18"/>
    <w:rsid w:val="006716F7"/>
    <w:rsid w:val="00683288"/>
    <w:rsid w:val="00691D0C"/>
    <w:rsid w:val="006A50C5"/>
    <w:rsid w:val="006C2319"/>
    <w:rsid w:val="006C2C49"/>
    <w:rsid w:val="006D0CB1"/>
    <w:rsid w:val="006D222C"/>
    <w:rsid w:val="006F3E03"/>
    <w:rsid w:val="0070305E"/>
    <w:rsid w:val="00703A28"/>
    <w:rsid w:val="00711C45"/>
    <w:rsid w:val="00714265"/>
    <w:rsid w:val="007464EB"/>
    <w:rsid w:val="00765AE0"/>
    <w:rsid w:val="00795C96"/>
    <w:rsid w:val="007E7E92"/>
    <w:rsid w:val="007F1924"/>
    <w:rsid w:val="007F27E3"/>
    <w:rsid w:val="00836602"/>
    <w:rsid w:val="00854FA0"/>
    <w:rsid w:val="00870ED6"/>
    <w:rsid w:val="0087143C"/>
    <w:rsid w:val="008720F0"/>
    <w:rsid w:val="00884450"/>
    <w:rsid w:val="00887018"/>
    <w:rsid w:val="00896BB6"/>
    <w:rsid w:val="008A5725"/>
    <w:rsid w:val="008A6340"/>
    <w:rsid w:val="008B3F03"/>
    <w:rsid w:val="008F57E0"/>
    <w:rsid w:val="00900DDF"/>
    <w:rsid w:val="00917E0E"/>
    <w:rsid w:val="00924D89"/>
    <w:rsid w:val="00934DA4"/>
    <w:rsid w:val="00951393"/>
    <w:rsid w:val="00961D27"/>
    <w:rsid w:val="00967577"/>
    <w:rsid w:val="0099143B"/>
    <w:rsid w:val="009C0372"/>
    <w:rsid w:val="009D27B3"/>
    <w:rsid w:val="009D5C4F"/>
    <w:rsid w:val="009D7AB1"/>
    <w:rsid w:val="009E5BC9"/>
    <w:rsid w:val="009F6C32"/>
    <w:rsid w:val="009F724B"/>
    <w:rsid w:val="00A15B81"/>
    <w:rsid w:val="00A40CE5"/>
    <w:rsid w:val="00A5498E"/>
    <w:rsid w:val="00AA3CB9"/>
    <w:rsid w:val="00AC0EC8"/>
    <w:rsid w:val="00AC78C0"/>
    <w:rsid w:val="00AE5162"/>
    <w:rsid w:val="00AE6EE4"/>
    <w:rsid w:val="00B07AD3"/>
    <w:rsid w:val="00B27B98"/>
    <w:rsid w:val="00B81A0A"/>
    <w:rsid w:val="00BB50B4"/>
    <w:rsid w:val="00BD2302"/>
    <w:rsid w:val="00C16B67"/>
    <w:rsid w:val="00C33A16"/>
    <w:rsid w:val="00C42126"/>
    <w:rsid w:val="00C66B57"/>
    <w:rsid w:val="00CD130B"/>
    <w:rsid w:val="00CD69BE"/>
    <w:rsid w:val="00CF4023"/>
    <w:rsid w:val="00CF7AF1"/>
    <w:rsid w:val="00D04FFE"/>
    <w:rsid w:val="00D108D7"/>
    <w:rsid w:val="00D10B5C"/>
    <w:rsid w:val="00D66357"/>
    <w:rsid w:val="00D92086"/>
    <w:rsid w:val="00DA0D38"/>
    <w:rsid w:val="00DA21D7"/>
    <w:rsid w:val="00DB2C8D"/>
    <w:rsid w:val="00DB4E47"/>
    <w:rsid w:val="00DD442E"/>
    <w:rsid w:val="00E10ED9"/>
    <w:rsid w:val="00E1519D"/>
    <w:rsid w:val="00E234D0"/>
    <w:rsid w:val="00E74100"/>
    <w:rsid w:val="00EB368E"/>
    <w:rsid w:val="00ED191F"/>
    <w:rsid w:val="00EE07A6"/>
    <w:rsid w:val="00EE743D"/>
    <w:rsid w:val="00EE78DA"/>
    <w:rsid w:val="00F0577F"/>
    <w:rsid w:val="00F06C50"/>
    <w:rsid w:val="00F1681E"/>
    <w:rsid w:val="00F23882"/>
    <w:rsid w:val="00F27B96"/>
    <w:rsid w:val="00F575EC"/>
    <w:rsid w:val="00F60942"/>
    <w:rsid w:val="00F638B0"/>
    <w:rsid w:val="00F7285D"/>
    <w:rsid w:val="00FD285F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styleId="af5">
    <w:name w:val="Hyperlink"/>
    <w:basedOn w:val="a0"/>
    <w:uiPriority w:val="99"/>
    <w:unhideWhenUsed/>
    <w:rsid w:val="00836602"/>
    <w:rPr>
      <w:color w:val="000080"/>
      <w:u w:val="single"/>
    </w:rPr>
  </w:style>
  <w:style w:type="character" w:customStyle="1" w:styleId="blk">
    <w:name w:val="blk"/>
    <w:basedOn w:val="a0"/>
    <w:rsid w:val="00836602"/>
  </w:style>
  <w:style w:type="paragraph" w:customStyle="1" w:styleId="Default">
    <w:name w:val="Default"/>
    <w:rsid w:val="00B81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D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A21D7"/>
    <w:rPr>
      <w:sz w:val="22"/>
      <w:szCs w:val="22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rsid w:val="00D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A21D7"/>
    <w:rPr>
      <w:sz w:val="22"/>
      <w:szCs w:val="22"/>
      <w:lang w:val="en-US"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29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91FF1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979B-138A-436C-AA72-17C865AD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69</cp:revision>
  <cp:lastPrinted>2022-04-20T02:27:00Z</cp:lastPrinted>
  <dcterms:created xsi:type="dcterms:W3CDTF">2021-08-25T03:23:00Z</dcterms:created>
  <dcterms:modified xsi:type="dcterms:W3CDTF">2022-07-22T01:57:00Z</dcterms:modified>
</cp:coreProperties>
</file>