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72" w:rsidRDefault="00870ED6" w:rsidP="009E5BC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 w:rsidR="00650123">
        <w:rPr>
          <w:rFonts w:ascii="Times New Roman" w:hAnsi="Times New Roman"/>
          <w:sz w:val="24"/>
          <w:szCs w:val="24"/>
          <w:lang w:val="ru-RU"/>
        </w:rPr>
        <w:t>3</w:t>
      </w:r>
      <w:r w:rsidR="00250FD0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765AE0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4BD">
        <w:rPr>
          <w:rFonts w:ascii="Times New Roman" w:hAnsi="Times New Roman"/>
          <w:sz w:val="24"/>
          <w:szCs w:val="24"/>
          <w:lang w:val="ru-RU"/>
        </w:rPr>
        <w:t>Контрольн</w:t>
      </w:r>
      <w:r w:rsidR="003D557F">
        <w:rPr>
          <w:rFonts w:ascii="Times New Roman" w:hAnsi="Times New Roman"/>
          <w:sz w:val="24"/>
          <w:szCs w:val="24"/>
          <w:lang w:val="ru-RU"/>
        </w:rPr>
        <w:t>о-счетного органа было осуществлено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0123">
        <w:rPr>
          <w:rFonts w:ascii="Times New Roman" w:hAnsi="Times New Roman"/>
          <w:sz w:val="24"/>
          <w:szCs w:val="24"/>
          <w:lang w:val="ru-RU"/>
        </w:rPr>
        <w:t>3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экспертно-аналити</w:t>
      </w:r>
      <w:r w:rsidR="00836602">
        <w:rPr>
          <w:rFonts w:ascii="Times New Roman" w:hAnsi="Times New Roman"/>
          <w:sz w:val="24"/>
          <w:szCs w:val="24"/>
          <w:lang w:val="ru-RU"/>
        </w:rPr>
        <w:t>ческих мероприятия</w:t>
      </w:r>
      <w:r w:rsidR="00BB50B4">
        <w:rPr>
          <w:rFonts w:ascii="Times New Roman" w:hAnsi="Times New Roman"/>
          <w:sz w:val="24"/>
          <w:szCs w:val="24"/>
          <w:lang w:val="ru-RU"/>
        </w:rPr>
        <w:t>, а именно:</w:t>
      </w:r>
    </w:p>
    <w:p w:rsidR="009E5BC9" w:rsidRDefault="009E5BC9" w:rsidP="009E5BC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0942" w:rsidRDefault="00F60942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A579E" w:rsidRPr="00BA579E" w:rsidRDefault="00650123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1.</w:t>
      </w:r>
      <w:r w:rsidR="00BA579E" w:rsidRPr="00BA579E">
        <w:rPr>
          <w:lang w:val="ru-RU"/>
        </w:rPr>
        <w:t xml:space="preserve"> </w:t>
      </w:r>
      <w:r w:rsidR="00BA579E" w:rsidRPr="00BA579E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ЗАКЛЮЧЕНИЕ на отчет об исполнении бюджета городского </w:t>
      </w:r>
      <w:proofErr w:type="gramStart"/>
      <w:r w:rsidR="00BA579E" w:rsidRPr="00BA579E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="00BA579E" w:rsidRPr="00BA579E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п. Горный </w:t>
      </w:r>
    </w:p>
    <w:p w:rsid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b/>
          <w:sz w:val="24"/>
          <w:szCs w:val="24"/>
          <w:lang w:val="ru-RU" w:eastAsia="ru-RU" w:bidi="ar-SA"/>
        </w:rPr>
        <w:t>за первое полугодие 2022 год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.</w:t>
      </w:r>
    </w:p>
    <w:p w:rsid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Выводы:</w:t>
      </w:r>
    </w:p>
    <w:p w:rsidR="00650123" w:rsidRDefault="00650123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1.Годовая бюджетная отчетность за первое полугодие 2022 год главным распорядителем средств бюджета городского </w:t>
      </w:r>
      <w:proofErr w:type="gram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представлена в установленные сроки. 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2.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в состав бюджетной отчетности включены все обязательные формы. 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3.В течение первого полугодия года было принято три решения Думы городского </w:t>
      </w:r>
      <w:proofErr w:type="gram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по внесению изменений в решение Думы городского округа ЗАТО п. Горный от 16.12.2021 г. № 42 «О бюджете городского округа ЗАТО п. Горный на 2022 год и на плановый период 2023 и 2024 годов», в результате которых были скорректированы плановые показатели бюджета, включая основные характеристики.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Уточненные бюджетные ассигнования в первом полугодии 2022 году увеличились относительно первоначального плана: 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 - по доходам - на 65 416,77 тыс. рублей, или на 29,2 %, в том числе по налоговым и неналоговым доходам увеличились на 2 742,50 тыс. рублей, или на 3,9 %, по безвозмездным поступлениям – на 62 444,27 тыс. руб., или на 42,4 %; 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 - по расходам – на 73 899,25 тыс. рублей или на 33,0 %. 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 - дефицит бюджета составил 8 482,48 тыс. рублей.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4. Доходная часть бюджета муниципального образования за первое полугодие 2022 год исполнена в сумме 138 972,25 тыс. рублей или на 48,0 % к утвержденным бюджетной росписью годовым бюджетным ассигнованиям в размере 289 392,97 тыс. рублей.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5. Расходная часть бюджета муниципального образования за первое полугодие 2022 год исполнена в сумме 142 420,93 тыс. рублей или на 47,8 % к утвержденным бюджетной росписью годовым бюджетным ассигнованиям в размере 297 875,46 тыс. рублей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6. Бюджетные назначения за первое полугодие 2022 года исполнены в полном объеме по разделам расходов: «Физическая культура и спорт» в сумме 356,62 тыс. рублей или 67,3 %, «Образование» в сумме 110 179,51 тыс. рублей или 55,6%, почти в полном объёме исполнены по разделам «Социальная политика» в сумме 2 591,00 тыс. рублей или 44,8 %,  «Национальная безопасность и правоохранительная деятельность» в размере 2 488,81 тыс. рублей или 40,8%, «Общегосударственные расходы» в сумме 12 432,05 тыс. рублей или 37,8 %, «Национальная оборона» в размере 122,99 тыс. рублей или 33,2%, «Жилищно-коммунальное хозяйство» в размере 13 980,07 тыс. рублей или 30,1%.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Ниже других разделов классификации расходов бюджета исполнены расходы по разделам: 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- «Национальная экономика» в размере 269,88 тыс. рублей или 3,5%,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По разделу «Здравоохранение» расходы не производились.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  7. Бюджет городского </w:t>
      </w:r>
      <w:proofErr w:type="gram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2022 год и плановый период 2023 и 2024 годы первоначально планировался без дефицита и профицита, фактически исполнен за первое полугодие с дефицитом в сумме 3 448,68 тыс. рублей. 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8. Муниципальный долг городского </w:t>
      </w:r>
      <w:proofErr w:type="gram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по состоянию на 01.07.2022 года отсутствует. 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 9. Согласно данным Сведений по дебиторской и кредиторской задолженности (ф. 0503369) по состоянию на 01.07.2022 г. имеется </w:t>
      </w:r>
      <w:r w:rsidRPr="00BA579E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 xml:space="preserve">дебиторская задолженность </w:t>
      </w: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в общей сумме 169,95 тыс. </w:t>
      </w: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рублей. </w:t>
      </w:r>
      <w:r w:rsidRPr="00BA579E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 xml:space="preserve">Кредиторская задолженность </w:t>
      </w: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по состоянию на 01.07.2022 года составила 2 674,15 тыс. рублей.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  11. Проектом Решения Думы городского </w:t>
      </w:r>
      <w:proofErr w:type="gram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«Об исполнении бюджета городского округа ЗАТО п. Горный за первое полугодие 2022 год» в соответствии со статьёй 264.6 Бюджетного кодекса Российской Федерации предложены к утверждению показатели исполнения бюджета 1 квартала 2022 года. Содержание статей проекта Решения, в целом, соответствует требованиям бюджетного законодательства, бюджетной отчетности за 1 квартал 2022 год. 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b/>
          <w:sz w:val="24"/>
          <w:szCs w:val="24"/>
          <w:lang w:val="ru-RU" w:eastAsia="ru-RU" w:bidi="ar-SA"/>
        </w:rPr>
        <w:t>ПРЕДЛОЖЕНИЯ: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BA579E" w:rsidRPr="00BA579E" w:rsidRDefault="00BA579E" w:rsidP="00BA579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Администрации городского округа обратить внимание на необходимость проведения оценки эффективности реализуемых программ в части неукоснительного исполнения «Порядка разработки, реализации и оценки эффективности муниципальных программ городского </w:t>
      </w:r>
      <w:proofErr w:type="gram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Горный», реализуемых за счет средств бюджета городского округа ЗАТО </w:t>
      </w:r>
      <w:proofErr w:type="spell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», утвержденного Постановлением администрации городского округа от 17 февраля 2017 года № 18. </w:t>
      </w:r>
    </w:p>
    <w:p w:rsidR="00BA579E" w:rsidRPr="00BA579E" w:rsidRDefault="00BA579E" w:rsidP="00BA579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Администрации городского округа повысить реализацию принципа результативности и эффективности использования бюджетных средств, установленного ст. 34 Бюджетного кодекса РФ.</w:t>
      </w:r>
    </w:p>
    <w:p w:rsidR="00BA579E" w:rsidRPr="00BA579E" w:rsidRDefault="00BA579E" w:rsidP="00BA579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Комитету по финансам городского округа рекомендовано усилить контроль над сбором налогов и платежей в бюджет городского </w:t>
      </w:r>
      <w:proofErr w:type="gram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и провести работу по анализу поступления доходов (налоговых и иных платежей) в бюджет городского округа ЗАТО </w:t>
      </w:r>
      <w:proofErr w:type="spell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A579E" w:rsidRPr="00BA579E" w:rsidRDefault="00BA579E" w:rsidP="00BA579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Комитету по финансам городского округа принимать меры к снижению уровня кредиторской и дебиторской задолженности в муниципальных казенных и бюджетных учреждений.</w:t>
      </w:r>
    </w:p>
    <w:p w:rsidR="00BA579E" w:rsidRPr="00BA579E" w:rsidRDefault="00BA579E" w:rsidP="00BA579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Контрольно-счетный орган полагает, что проект решения «Об исполнении бюджета городского </w:t>
      </w:r>
      <w:proofErr w:type="gram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за первое полугодие 2022 года» может быть принят Думой городского округа ЗАТО </w:t>
      </w:r>
      <w:proofErr w:type="spellStart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BA579E">
        <w:rPr>
          <w:rFonts w:ascii="Times New Roman" w:hAnsi="Times New Roman"/>
          <w:sz w:val="24"/>
          <w:szCs w:val="24"/>
          <w:lang w:val="ru-RU" w:eastAsia="ru-RU" w:bidi="ar-SA"/>
        </w:rPr>
        <w:t xml:space="preserve"> к рассмотрению.</w:t>
      </w: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A579E" w:rsidRPr="00BA579E" w:rsidRDefault="00BA579E" w:rsidP="00BA579E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2B1C" w:rsidRDefault="00752B1C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2B1C" w:rsidRDefault="00752B1C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4307A" w:rsidRPr="00A4307A" w:rsidRDefault="00752B1C" w:rsidP="00A4307A">
      <w:pPr>
        <w:spacing w:line="240" w:lineRule="auto"/>
        <w:ind w:firstLine="357"/>
        <w:jc w:val="both"/>
        <w:outlineLvl w:val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4307A">
        <w:rPr>
          <w:rFonts w:ascii="Times New Roman" w:hAnsi="Times New Roman"/>
          <w:b/>
          <w:sz w:val="24"/>
          <w:szCs w:val="24"/>
          <w:lang w:val="ru-RU" w:eastAsia="ru-RU" w:bidi="ar-SA"/>
        </w:rPr>
        <w:t>2.</w:t>
      </w:r>
      <w:r w:rsidR="00A4307A" w:rsidRPr="00A4307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ЗАКЛЮЧЕНИЕ </w:t>
      </w:r>
      <w:r w:rsidR="00A4307A" w:rsidRPr="00A4307A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 xml:space="preserve">на проект </w:t>
      </w:r>
      <w:r w:rsidR="00A4307A" w:rsidRPr="00A4307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постановления Администрации городского </w:t>
      </w:r>
      <w:proofErr w:type="gramStart"/>
      <w:r w:rsidR="00A4307A" w:rsidRPr="00A4307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округа</w:t>
      </w:r>
      <w:proofErr w:type="gramEnd"/>
      <w:r w:rsidR="00A4307A" w:rsidRPr="00A4307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 ЗАТО п. Горный</w:t>
      </w:r>
      <w:r w:rsidR="00A4307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A4307A" w:rsidRPr="00A4307A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«О внесении изменений в </w:t>
      </w:r>
      <w:r w:rsidR="00A4307A" w:rsidRPr="00A4307A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>муниципальную программу «Построение и развитие аппаратно-программного комплекса «Безопасный город» на территории городского округа ЗАТО п. Горный на 2019-2023 годы», утверждённую постановлением администрации городского округа ЗАТО п. Горный от 12 октября 2018 года №158</w:t>
      </w:r>
    </w:p>
    <w:p w:rsidR="00A4307A" w:rsidRPr="00A4307A" w:rsidRDefault="00A4307A" w:rsidP="00A4307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B84F95" w:rsidRPr="00B84F95" w:rsidRDefault="00B84F95" w:rsidP="00B84F95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B84F9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Основные выводы по результатам экспертизы муниципальной программы:</w:t>
      </w:r>
    </w:p>
    <w:p w:rsidR="00B84F95" w:rsidRPr="00B84F95" w:rsidRDefault="00B84F95" w:rsidP="00B84F95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84F95" w:rsidRPr="00B84F95" w:rsidRDefault="00B84F95" w:rsidP="00B84F95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1. В ходе проверки нарушений бюджетного законодательства не выявлено.   </w:t>
      </w:r>
    </w:p>
    <w:p w:rsidR="00B84F95" w:rsidRPr="00B84F95" w:rsidRDefault="00B84F95" w:rsidP="00B84F95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2. Обосновывающие материалы к Проекту постановления Администрации городского </w:t>
      </w:r>
      <w:proofErr w:type="gramStart"/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«О внесении изменений в муниципальную программу «Построение и развитие аппаратно-программного комплекса «Безопасный город» на территории городского округа ЗАТО п. Горный на 2019-2023 годы» не представлены. Сумма потребности финансовых средств по программе составляет 3 394,935 тыс. рублей.               .</w:t>
      </w:r>
    </w:p>
    <w:p w:rsidR="00B84F95" w:rsidRPr="00B84F95" w:rsidRDefault="00B84F95" w:rsidP="00B84F95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3. Согласно Решения Думы городского </w:t>
      </w:r>
      <w:proofErr w:type="gramStart"/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30.06.2022 г. №29 «О внесении изменений в бюджет городского округа ЗАТО п. Горный на 2022 год и на плановый </w:t>
      </w:r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период 2023 и 2024 годов» расходы на исполнение муниципальной программы на 2022 год утверждены в размере – 680,00 тыс. рублей.</w:t>
      </w:r>
    </w:p>
    <w:p w:rsidR="00B84F95" w:rsidRPr="00B84F95" w:rsidRDefault="00B84F95" w:rsidP="00B84F95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4</w:t>
      </w:r>
      <w:r w:rsidRPr="00B84F95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. Контрольно-счетный орган рекомендует Администрации городского округа ЗАТО п. Горный пересмотреть лимиты бюджетных ассигнований в бюджете городского округа ЗАТО п. Горный на 2022 год на муниципальную программу «Построение и развитие аппаратно-программного комплекса «Безопасный город» на территории городского округа ЗАТО п. Горный на 2019-2023 годы» в размере 3 394,94 тыс. рублей, из них 525,00 тыс. рублей на 2022 год, в следствии низкого качества планирования и реализации программных мероприятий.</w:t>
      </w:r>
    </w:p>
    <w:p w:rsidR="00B84F95" w:rsidRPr="00B84F95" w:rsidRDefault="00B84F95" w:rsidP="00B84F95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5.Контрольно-счетный орган городского </w:t>
      </w:r>
      <w:proofErr w:type="gramStart"/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рекомендует администрации городского округа ЗАТО п. Горный рассмотреть все возможные варианты включения на </w:t>
      </w:r>
      <w:proofErr w:type="spellStart"/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>софинансирование</w:t>
      </w:r>
      <w:proofErr w:type="spellEnd"/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 xml:space="preserve"> из бюджетов других уровней для реализации программы.</w:t>
      </w:r>
    </w:p>
    <w:p w:rsidR="00B84F95" w:rsidRPr="00B84F95" w:rsidRDefault="00B84F95" w:rsidP="00B84F95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6. Рассмотрев проект постановления «О внесении изменений в муниципальную программу «Построение и развитие аппаратно-программного комплекса «Безопасный город» на территории городского </w:t>
      </w:r>
      <w:proofErr w:type="gramStart"/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B84F95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2019-2023 годы», Контрольно-счетный орган считает изменения, вносимые в Программу, обоснованными и не противоречащими действующему законодательству.</w:t>
      </w:r>
    </w:p>
    <w:p w:rsidR="00650123" w:rsidRDefault="00650123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650123" w:rsidRDefault="00650123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A5E6C" w:rsidRPr="00FA5E6C" w:rsidRDefault="007D2099" w:rsidP="00FA5E6C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FA5E6C">
        <w:rPr>
          <w:rFonts w:ascii="Times New Roman" w:hAnsi="Times New Roman"/>
          <w:b/>
          <w:sz w:val="24"/>
          <w:szCs w:val="24"/>
          <w:lang w:val="ru-RU" w:eastAsia="ru-RU" w:bidi="ar-SA"/>
        </w:rPr>
        <w:t>3.</w:t>
      </w:r>
      <w:r w:rsidR="00FA5E6C" w:rsidRPr="00FA5E6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ЗАКЛЮЧЕНИЕ на проект </w:t>
      </w:r>
      <w:r w:rsidR="00FA5E6C" w:rsidRPr="00FA5E6C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постановления Администрации городского </w:t>
      </w:r>
      <w:proofErr w:type="gramStart"/>
      <w:r w:rsidR="00FA5E6C" w:rsidRPr="00FA5E6C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округа</w:t>
      </w:r>
      <w:proofErr w:type="gramEnd"/>
      <w:r w:rsidR="00FA5E6C" w:rsidRPr="00FA5E6C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ЗАТО п. Горный «О внесении изменений в муниципальную программу «Комплексное развитие социальной инфраструктуры городского округа ЗАТО п. Горный на 2018-2034 годы»</w:t>
      </w:r>
      <w:r w:rsidR="00FA5E6C" w:rsidRPr="00FA5E6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, утверждённую постановлением администрации городского округа ЗАТО п. Горный </w:t>
      </w:r>
    </w:p>
    <w:p w:rsidR="00FA5E6C" w:rsidRPr="00FA5E6C" w:rsidRDefault="00FA5E6C" w:rsidP="00FA5E6C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FA5E6C">
        <w:rPr>
          <w:rFonts w:ascii="Times New Roman" w:hAnsi="Times New Roman"/>
          <w:b/>
          <w:sz w:val="24"/>
          <w:szCs w:val="24"/>
          <w:lang w:val="ru-RU" w:eastAsia="ru-RU" w:bidi="ar-SA"/>
        </w:rPr>
        <w:t>от 12 октября 2018 года №162</w:t>
      </w:r>
    </w:p>
    <w:p w:rsidR="00650123" w:rsidRDefault="00650123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11278" w:rsidRPr="00711278" w:rsidRDefault="00711278" w:rsidP="00711278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11278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Основные выводы по результатам экспертизы муниципальной программы:</w:t>
      </w:r>
    </w:p>
    <w:p w:rsidR="00711278" w:rsidRPr="00711278" w:rsidRDefault="00711278" w:rsidP="00711278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1. В ходе проверки нарушений бюджетного законодательства не выявлено.   </w:t>
      </w:r>
    </w:p>
    <w:p w:rsidR="00711278" w:rsidRPr="00711278" w:rsidRDefault="00711278" w:rsidP="00711278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2. Обосновывающие материалы к Проекту постановления Администрации городского </w:t>
      </w:r>
      <w:proofErr w:type="gramStart"/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«О внесении изменений в муниципальную программу программы «Комплексное развитие социальной инфраструктуры городского округа ЗАТО п. Горный на 2018-2034 годы» не представлены. Сумма потребности финансовых средств по программе составляет 9374,30 тыс. рублей.              .</w:t>
      </w:r>
    </w:p>
    <w:p w:rsidR="00711278" w:rsidRPr="00711278" w:rsidRDefault="00711278" w:rsidP="00711278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3. Согласно Решения Думы городского </w:t>
      </w:r>
      <w:proofErr w:type="gramStart"/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30.06.2022 г. №31 «О внесении изменений в бюджет городского округа ЗАТО п. Горный на 2021 год и на плановый период 2022 и 2023 годов» расходы на исполнение муниципальной программы на 2022 год утверждены в размере –1759,50 тыс. рублей.</w:t>
      </w:r>
    </w:p>
    <w:p w:rsidR="00711278" w:rsidRPr="00711278" w:rsidRDefault="00711278" w:rsidP="00711278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4. Контрольно-счетный орган рекомендует Администрации городского </w:t>
      </w:r>
      <w:proofErr w:type="gramStart"/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пересмотреть в бюджете городского округа ЗАТО п. Горный лимиты бюджетных ассигнований муниципальной программы «Комплексное развитие социальной инфраструктуры городского округа ЗАТО п. Горный на 2018-2034 годы» на 2022 год в размере 1686,50 тыс. рублей, в соответствии с Проектом постановления.</w:t>
      </w:r>
    </w:p>
    <w:p w:rsidR="00711278" w:rsidRPr="00711278" w:rsidRDefault="00711278" w:rsidP="00711278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5. Контрольно-счетный орган отмечает низкую эффективность исполнения муниципальной программы «Комплексное развитие социальной инфраструктуры городского </w:t>
      </w:r>
      <w:proofErr w:type="gramStart"/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2018-2034 годы» в 2022 году, что свидетельствует о низком качестве планирования и исполнения программных мероприятий.</w:t>
      </w:r>
    </w:p>
    <w:p w:rsidR="00711278" w:rsidRPr="00711278" w:rsidRDefault="00711278" w:rsidP="00711278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6. Рассмотрев проект постановления «О внесении изменений в муниципальную программу «Комплексное развитие социальной инфраструктуры городского </w:t>
      </w:r>
      <w:proofErr w:type="gramStart"/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1127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2018-2034 годы» Контрольно-счетный орган считает изменения, вносимые в Программу, обоснованными и не противоречащими действующему законодательству.</w:t>
      </w:r>
    </w:p>
    <w:p w:rsidR="00711278" w:rsidRDefault="00711278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73966" w:rsidRPr="00073966" w:rsidRDefault="00073966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bookmarkStart w:id="0" w:name="_GoBack"/>
      <w:bookmarkEnd w:id="0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Председатель Контрольно-счетного органа</w:t>
      </w:r>
    </w:p>
    <w:p w:rsidR="00073966" w:rsidRPr="00073966" w:rsidRDefault="00073966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 xml:space="preserve">городского </w:t>
      </w:r>
      <w:proofErr w:type="gramStart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                                                            </w:t>
      </w:r>
      <w:proofErr w:type="spellStart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В.А.Шурманова</w:t>
      </w:r>
      <w:proofErr w:type="spellEnd"/>
    </w:p>
    <w:sectPr w:rsidR="00073966" w:rsidRPr="00073966" w:rsidSect="00691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90" w:rsidRDefault="00700590" w:rsidP="00DA21D7">
      <w:pPr>
        <w:spacing w:after="0" w:line="240" w:lineRule="auto"/>
      </w:pPr>
      <w:r>
        <w:separator/>
      </w:r>
    </w:p>
  </w:endnote>
  <w:endnote w:type="continuationSeparator" w:id="0">
    <w:p w:rsidR="00700590" w:rsidRDefault="00700590" w:rsidP="00D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85604"/>
      <w:docPartObj>
        <w:docPartGallery w:val="Page Numbers (Bottom of Page)"/>
        <w:docPartUnique/>
      </w:docPartObj>
    </w:sdtPr>
    <w:sdtEndPr/>
    <w:sdtContent>
      <w:p w:rsidR="00DA21D7" w:rsidRDefault="00DA21D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78" w:rsidRPr="00711278">
          <w:rPr>
            <w:noProof/>
            <w:lang w:val="ru-RU"/>
          </w:rPr>
          <w:t>2</w:t>
        </w:r>
        <w:r>
          <w:fldChar w:fldCharType="end"/>
        </w:r>
      </w:p>
    </w:sdtContent>
  </w:sdt>
  <w:p w:rsidR="00DA21D7" w:rsidRDefault="00DA21D7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90" w:rsidRDefault="00700590" w:rsidP="00DA21D7">
      <w:pPr>
        <w:spacing w:after="0" w:line="240" w:lineRule="auto"/>
      </w:pPr>
      <w:r>
        <w:separator/>
      </w:r>
    </w:p>
  </w:footnote>
  <w:footnote w:type="continuationSeparator" w:id="0">
    <w:p w:rsidR="00700590" w:rsidRDefault="00700590" w:rsidP="00DA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8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4737A7"/>
    <w:multiLevelType w:val="hybridMultilevel"/>
    <w:tmpl w:val="345AE552"/>
    <w:lvl w:ilvl="0" w:tplc="56601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254747"/>
    <w:multiLevelType w:val="hybridMultilevel"/>
    <w:tmpl w:val="C74EB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C1217B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813F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0D46801"/>
    <w:multiLevelType w:val="hybridMultilevel"/>
    <w:tmpl w:val="1570EE9C"/>
    <w:lvl w:ilvl="0" w:tplc="8C74A7E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247D5"/>
    <w:rsid w:val="000343A4"/>
    <w:rsid w:val="000518D2"/>
    <w:rsid w:val="00054121"/>
    <w:rsid w:val="00057828"/>
    <w:rsid w:val="00062205"/>
    <w:rsid w:val="000730DB"/>
    <w:rsid w:val="00073966"/>
    <w:rsid w:val="00074E53"/>
    <w:rsid w:val="00100D3E"/>
    <w:rsid w:val="00116DE4"/>
    <w:rsid w:val="001607F5"/>
    <w:rsid w:val="001D3C66"/>
    <w:rsid w:val="001F4798"/>
    <w:rsid w:val="00212CC5"/>
    <w:rsid w:val="00250FD0"/>
    <w:rsid w:val="00254381"/>
    <w:rsid w:val="00291FF1"/>
    <w:rsid w:val="002D2527"/>
    <w:rsid w:val="002E2F94"/>
    <w:rsid w:val="002F79B1"/>
    <w:rsid w:val="003004AE"/>
    <w:rsid w:val="00341122"/>
    <w:rsid w:val="00361730"/>
    <w:rsid w:val="00385D51"/>
    <w:rsid w:val="003A0BE9"/>
    <w:rsid w:val="003A25C2"/>
    <w:rsid w:val="003C69EF"/>
    <w:rsid w:val="003C6D33"/>
    <w:rsid w:val="003D557F"/>
    <w:rsid w:val="00402EC9"/>
    <w:rsid w:val="00422414"/>
    <w:rsid w:val="004234BD"/>
    <w:rsid w:val="004344CB"/>
    <w:rsid w:val="00440A2F"/>
    <w:rsid w:val="00447924"/>
    <w:rsid w:val="004A2F69"/>
    <w:rsid w:val="004D1F0A"/>
    <w:rsid w:val="004E4A34"/>
    <w:rsid w:val="004E68D4"/>
    <w:rsid w:val="00532F91"/>
    <w:rsid w:val="005D37CF"/>
    <w:rsid w:val="005E4212"/>
    <w:rsid w:val="005F17F6"/>
    <w:rsid w:val="005F4CCF"/>
    <w:rsid w:val="00644FEF"/>
    <w:rsid w:val="00650123"/>
    <w:rsid w:val="00654F18"/>
    <w:rsid w:val="006716F7"/>
    <w:rsid w:val="00683288"/>
    <w:rsid w:val="00691D0C"/>
    <w:rsid w:val="006A50C5"/>
    <w:rsid w:val="006C2319"/>
    <w:rsid w:val="006C2C49"/>
    <w:rsid w:val="006D0CB1"/>
    <w:rsid w:val="006D222C"/>
    <w:rsid w:val="006F3E03"/>
    <w:rsid w:val="00700590"/>
    <w:rsid w:val="0070305E"/>
    <w:rsid w:val="00703A28"/>
    <w:rsid w:val="00711278"/>
    <w:rsid w:val="00711C45"/>
    <w:rsid w:val="00714265"/>
    <w:rsid w:val="007464EB"/>
    <w:rsid w:val="00752B1C"/>
    <w:rsid w:val="00765AE0"/>
    <w:rsid w:val="00795C96"/>
    <w:rsid w:val="007D2099"/>
    <w:rsid w:val="007E7E92"/>
    <w:rsid w:val="007F1924"/>
    <w:rsid w:val="007F27E3"/>
    <w:rsid w:val="00836602"/>
    <w:rsid w:val="00854FA0"/>
    <w:rsid w:val="00870ED6"/>
    <w:rsid w:val="0087143C"/>
    <w:rsid w:val="008720F0"/>
    <w:rsid w:val="00884450"/>
    <w:rsid w:val="00887018"/>
    <w:rsid w:val="00896BB6"/>
    <w:rsid w:val="008A5725"/>
    <w:rsid w:val="008A6340"/>
    <w:rsid w:val="008B3F03"/>
    <w:rsid w:val="008F57E0"/>
    <w:rsid w:val="00900DDF"/>
    <w:rsid w:val="00917E0E"/>
    <w:rsid w:val="00924D89"/>
    <w:rsid w:val="00934DA4"/>
    <w:rsid w:val="00951393"/>
    <w:rsid w:val="00961D27"/>
    <w:rsid w:val="00967577"/>
    <w:rsid w:val="0099143B"/>
    <w:rsid w:val="009C0372"/>
    <w:rsid w:val="009D27B3"/>
    <w:rsid w:val="009D5C4F"/>
    <w:rsid w:val="009D7AB1"/>
    <w:rsid w:val="009E5BC9"/>
    <w:rsid w:val="009F6C32"/>
    <w:rsid w:val="009F724B"/>
    <w:rsid w:val="00A15B81"/>
    <w:rsid w:val="00A40CE5"/>
    <w:rsid w:val="00A4307A"/>
    <w:rsid w:val="00A5498E"/>
    <w:rsid w:val="00AA3CB9"/>
    <w:rsid w:val="00AC0EC8"/>
    <w:rsid w:val="00AC78C0"/>
    <w:rsid w:val="00AE5162"/>
    <w:rsid w:val="00AE6EE4"/>
    <w:rsid w:val="00B07AD3"/>
    <w:rsid w:val="00B27B98"/>
    <w:rsid w:val="00B81A0A"/>
    <w:rsid w:val="00B84F95"/>
    <w:rsid w:val="00BA579E"/>
    <w:rsid w:val="00BB50B4"/>
    <w:rsid w:val="00BD2302"/>
    <w:rsid w:val="00C16B67"/>
    <w:rsid w:val="00C33A16"/>
    <w:rsid w:val="00C42126"/>
    <w:rsid w:val="00C66B57"/>
    <w:rsid w:val="00CD130B"/>
    <w:rsid w:val="00CD69BE"/>
    <w:rsid w:val="00CF4023"/>
    <w:rsid w:val="00CF7AF1"/>
    <w:rsid w:val="00D04FFE"/>
    <w:rsid w:val="00D108D7"/>
    <w:rsid w:val="00D10B5C"/>
    <w:rsid w:val="00D66357"/>
    <w:rsid w:val="00D92086"/>
    <w:rsid w:val="00DA0D38"/>
    <w:rsid w:val="00DA21D7"/>
    <w:rsid w:val="00DB2C8D"/>
    <w:rsid w:val="00DB4E47"/>
    <w:rsid w:val="00DD442E"/>
    <w:rsid w:val="00E10ED9"/>
    <w:rsid w:val="00E1519D"/>
    <w:rsid w:val="00E234D0"/>
    <w:rsid w:val="00E74100"/>
    <w:rsid w:val="00EB368E"/>
    <w:rsid w:val="00ED191F"/>
    <w:rsid w:val="00EE07A6"/>
    <w:rsid w:val="00EE743D"/>
    <w:rsid w:val="00EE78DA"/>
    <w:rsid w:val="00F0577F"/>
    <w:rsid w:val="00F06C50"/>
    <w:rsid w:val="00F1681E"/>
    <w:rsid w:val="00F23882"/>
    <w:rsid w:val="00F27B96"/>
    <w:rsid w:val="00F575EC"/>
    <w:rsid w:val="00F60942"/>
    <w:rsid w:val="00F638B0"/>
    <w:rsid w:val="00F7285D"/>
    <w:rsid w:val="00FA5E6C"/>
    <w:rsid w:val="00FA66C1"/>
    <w:rsid w:val="00FD285F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A21D7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A21D7"/>
    <w:rPr>
      <w:sz w:val="22"/>
      <w:szCs w:val="22"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29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1FF1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5161-07C8-4796-9DB9-B900335F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77</cp:revision>
  <cp:lastPrinted>2022-04-20T02:27:00Z</cp:lastPrinted>
  <dcterms:created xsi:type="dcterms:W3CDTF">2021-08-25T03:23:00Z</dcterms:created>
  <dcterms:modified xsi:type="dcterms:W3CDTF">2022-10-17T07:31:00Z</dcterms:modified>
</cp:coreProperties>
</file>