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январь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Составлено: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- 2</w:t>
      </w:r>
      <w:r>
        <w:rPr>
          <w:sz w:val="28"/>
          <w:szCs w:val="28"/>
        </w:rPr>
        <w:t xml:space="preserve"> протокола о привлечении к административной ответственности.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Отделом подготовлено </w:t>
      </w:r>
      <w:r>
        <w:rPr>
          <w:sz w:val="28"/>
          <w:szCs w:val="28"/>
        </w:rPr>
        <w:t xml:space="preserve">77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и ответ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0"/>
        <w:jc w:val="both"/>
      </w:pPr>
      <w:r>
        <w:rPr>
          <w:sz w:val="28"/>
          <w:szCs w:val="28"/>
        </w:rPr>
        <w:t xml:space="preserve">          Актуализирована информация на сайте Инспекции в соответствии с частью 3 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от 31 июля 2020 г. N 248-ФЗ "О государственном контроле (надзоре) и муниципальном контроле в Российской Федерации"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2</cp:revision>
  <dcterms:created xsi:type="dcterms:W3CDTF">2022-01-17T05:20:00Z</dcterms:created>
  <dcterms:modified xsi:type="dcterms:W3CDTF">2022-06-07T01:35:42Z</dcterms:modified>
</cp:coreProperties>
</file>