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сентябрь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Проведены: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25 </w:t>
      </w:r>
      <w:r>
        <w:rPr>
          <w:sz w:val="28"/>
          <w:szCs w:val="28"/>
        </w:rPr>
        <w:t xml:space="preserve">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25</w:t>
      </w:r>
      <w:r>
        <w:rPr>
          <w:sz w:val="28"/>
          <w:szCs w:val="28"/>
        </w:rPr>
        <w:t xml:space="preserve"> актов;</w:t>
      </w:r>
      <w:r/>
    </w:p>
    <w:p>
      <w:pPr>
        <w:ind w:left="0" w:firstLine="0"/>
        <w:jc w:val="both"/>
        <w:widowControl w:val="off"/>
        <w:tabs>
          <w:tab w:val="center" w:pos="5491" w:leader="none"/>
        </w:tabs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          - 4 профилактических визита</w:t>
      </w:r>
      <w:r>
        <w:rPr>
          <w:sz w:val="28"/>
          <w:szCs w:val="28"/>
          <w:highlight w:val="none"/>
        </w:rPr>
        <w:tab/>
        <w:t xml:space="preserve">.</w:t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left="0" w:firstLine="0"/>
        <w:jc w:val="both"/>
        <w:widowControl w:val="off"/>
        <w:tabs>
          <w:tab w:val="center" w:pos="549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-</w:t>
      </w:r>
      <w:r>
        <w:rPr>
          <w:sz w:val="28"/>
          <w:highlight w:val="none"/>
        </w:rPr>
        <w:t xml:space="preserve"> разработан и утвержден план-график по восстановлению прав граждан – участников долевого строительства</w:t>
      </w:r>
      <w:r>
        <w:rPr>
          <w:sz w:val="28"/>
          <w:highlight w:val="none"/>
        </w:rPr>
        <w:t xml:space="preserve"> на 30 .09.2022.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widowControl w:val="off"/>
        <w:tabs>
          <w:tab w:val="center" w:pos="549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jc w:val="both"/>
        <w:widowControl w:val="off"/>
        <w:tabs>
          <w:tab w:val="left" w:pos="1223" w:leader="none"/>
        </w:tabs>
        <w:rPr>
          <w:highlight w:val="none"/>
        </w:rPr>
      </w:pPr>
      <w:r>
        <w:t xml:space="preserve"> </w:t>
      </w:r>
      <w:r>
        <w:rPr>
          <w:sz w:val="28"/>
        </w:rPr>
        <w:t xml:space="preserve">       - разработана программа профилактики на 2023 год. </w:t>
      </w:r>
      <w:r/>
      <w:r/>
    </w:p>
    <w:p>
      <w:pPr>
        <w:ind w:left="0" w:firstLine="0"/>
        <w:jc w:val="both"/>
        <w:widowControl w:val="off"/>
        <w:tabs>
          <w:tab w:val="left" w:pos="1223" w:leader="none"/>
        </w:tabs>
        <w:rPr>
          <w:highlight w:val="none"/>
        </w:rPr>
      </w:pPr>
      <w:r>
        <w:rPr>
          <w:sz w:val="28"/>
          <w:highlight w:val="none"/>
        </w:rPr>
        <w:t xml:space="preserve">        - на сайте инспекции размещен отчет о выполнении программы профилактики за 3 квартал  2022 года.</w:t>
      </w:r>
      <w:r>
        <w:rPr>
          <w:sz w:val="28"/>
          <w:szCs w:val="28"/>
          <w:highlight w:val="none"/>
        </w:rPr>
      </w:r>
      <w:r/>
    </w:p>
    <w:p>
      <w:pPr>
        <w:ind w:left="0" w:firstLine="0"/>
        <w:jc w:val="both"/>
        <w:widowControl w:val="off"/>
        <w:tabs>
          <w:tab w:val="left" w:pos="1223" w:leader="none"/>
        </w:tabs>
        <w:rPr>
          <w:highlight w:val="none"/>
        </w:rPr>
      </w:pPr>
      <w:r>
        <w:rPr>
          <w:sz w:val="28"/>
          <w:highlight w:val="none"/>
        </w:rPr>
        <w:t xml:space="preserve">        </w:t>
      </w:r>
      <w:r/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Cs w:val="28"/>
          <w:highlight w:val="none"/>
        </w:rPr>
      </w:pPr>
      <w:r>
        <w:rPr>
          <w:sz w:val="28"/>
          <w:szCs w:val="28"/>
        </w:rPr>
        <w:t xml:space="preserve">Отделом подготовлено 53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а и ответа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  <w:r/>
    </w:p>
    <w:p>
      <w:pPr>
        <w:ind w:firstLine="709"/>
        <w:jc w:val="both"/>
        <w:widowControl w:val="off"/>
        <w:tabs>
          <w:tab w:val="left" w:pos="2690" w:leader="none"/>
        </w:tabs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basedOn w:val="827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basedOn w:val="827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basedOn w:val="827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basedOn w:val="827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basedOn w:val="827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basedOn w:val="827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basedOn w:val="827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basedOn w:val="827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basedOn w:val="827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7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7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7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7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12</cp:revision>
  <dcterms:created xsi:type="dcterms:W3CDTF">2022-01-17T05:20:00Z</dcterms:created>
  <dcterms:modified xsi:type="dcterms:W3CDTF">2022-10-31T05:13:15Z</dcterms:modified>
</cp:coreProperties>
</file>