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none" w:sz="6" w:space="0" w:color="000000"/>
          <w:left w:val="none" w:sz="6" w:space="0" w:color="000000"/>
          <w:bottom w:val="none" w:sz="6" w:space="0" w:color="000000"/>
          <w:right w:val="none" w:sz="6" w:space="0" w:color="000000"/>
          <w:insideH w:val="none" w:sz="6" w:space="0" w:color="000000"/>
          <w:insideV w:val="non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2"/>
      </w:tblGrid>
      <w:tr w:rsidR="009802DF" w14:paraId="1964437C" w14:textId="77777777">
        <w:tc>
          <w:tcPr>
            <w:tcW w:w="107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12055B" w14:textId="77777777" w:rsidR="009802DF" w:rsidRDefault="0010274A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14:paraId="367DB434" w14:textId="77777777" w:rsidR="009802DF" w:rsidRDefault="0010274A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vanish/>
          <w:sz w:val="24"/>
          <w:szCs w:val="24"/>
        </w:rPr>
        <w:t> </w:t>
      </w:r>
    </w:p>
    <w:tbl>
      <w:tblPr>
        <w:tblW w:w="10123" w:type="dxa"/>
        <w:tblInd w:w="93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0"/>
        <w:gridCol w:w="222"/>
        <w:gridCol w:w="1500"/>
        <w:gridCol w:w="2461"/>
      </w:tblGrid>
      <w:tr w:rsidR="009802DF" w14:paraId="12232E3D" w14:textId="77777777">
        <w:trPr>
          <w:trHeight w:val="270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F7705A9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ПОЯСНИТЕЛЬНАЯ ЗАПИСКА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20E4E8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FA812E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461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3AA6F1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3981E07E" w14:textId="77777777">
        <w:trPr>
          <w:trHeight w:val="25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B1A6F6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5F0C2D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62E7E6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673C51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КОДЫ</w:t>
            </w:r>
          </w:p>
        </w:tc>
      </w:tr>
      <w:tr w:rsidR="009802DF" w14:paraId="7C88C799" w14:textId="77777777">
        <w:trPr>
          <w:trHeight w:val="282"/>
        </w:trPr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8E1F49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0" w:type="auto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553015E" w14:textId="77777777" w:rsidR="009802DF" w:rsidRDefault="0010274A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Форма по ОКУД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C6868C9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0503160</w:t>
            </w:r>
          </w:p>
        </w:tc>
      </w:tr>
      <w:tr w:rsidR="009802DF" w14:paraId="4130B79C" w14:textId="77777777">
        <w:trPr>
          <w:trHeight w:val="282"/>
        </w:trPr>
        <w:tc>
          <w:tcPr>
            <w:tcW w:w="0" w:type="auto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65E3E08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                          на   1 января 2025 г.</w:t>
            </w: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7E7FB8" w14:textId="77777777" w:rsidR="009802DF" w:rsidRDefault="0010274A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 Дата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F65BE7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01.01.2025</w:t>
            </w:r>
          </w:p>
        </w:tc>
      </w:tr>
      <w:tr w:rsidR="009802DF" w14:paraId="1F2E6CFA" w14:textId="77777777">
        <w:trPr>
          <w:trHeight w:val="300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00BDE8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Главный распорядитель, распорядитель,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8225C8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F01B7D" w14:textId="77777777" w:rsidR="009802DF" w:rsidRDefault="0010274A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Код субъекта бюджетной отчетности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5B35DF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554732E3" w14:textId="77777777">
        <w:trPr>
          <w:trHeight w:val="19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1778CD" w14:textId="77777777" w:rsidR="009802DF" w:rsidRDefault="0010274A">
            <w:pPr>
              <w:spacing w:line="195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получатель бюджетных средств, главный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администратор,   </w:t>
            </w:r>
            <w:proofErr w:type="gramEnd"/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6824356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5E258B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CD2FD2B" w14:textId="77777777" w:rsidR="009802DF" w:rsidRDefault="009802DF">
            <w:pPr>
              <w:rPr>
                <w:sz w:val="20"/>
              </w:rPr>
            </w:pPr>
          </w:p>
        </w:tc>
      </w:tr>
      <w:tr w:rsidR="009802DF" w14:paraId="489EB136" w14:textId="77777777">
        <w:trPr>
          <w:trHeight w:val="19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780742" w14:textId="77777777" w:rsidR="009802DF" w:rsidRDefault="0010274A">
            <w:pPr>
              <w:spacing w:line="195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администратор доходов бюджета,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BB2BD2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8CDDA6" w14:textId="77777777" w:rsidR="009802DF" w:rsidRDefault="0010274A">
            <w:pPr>
              <w:spacing w:line="195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по ОКПО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1FF249" w14:textId="77777777" w:rsidR="009802DF" w:rsidRDefault="0010274A">
            <w:pPr>
              <w:spacing w:line="195" w:lineRule="atLeast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05898402</w:t>
            </w:r>
          </w:p>
        </w:tc>
      </w:tr>
      <w:tr w:rsidR="009802DF" w14:paraId="367D841B" w14:textId="77777777">
        <w:trPr>
          <w:trHeight w:val="19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014487" w14:textId="77777777" w:rsidR="009802DF" w:rsidRDefault="0010274A">
            <w:pPr>
              <w:spacing w:line="195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главный администратор, администратор 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AEB5B3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7D78E2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24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933C50" w14:textId="77777777" w:rsidR="009802DF" w:rsidRDefault="009802DF">
            <w:pPr>
              <w:rPr>
                <w:sz w:val="20"/>
              </w:rPr>
            </w:pPr>
          </w:p>
        </w:tc>
      </w:tr>
      <w:tr w:rsidR="009802DF" w14:paraId="3721FE50" w14:textId="77777777">
        <w:trPr>
          <w:trHeight w:val="19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41DEBF" w14:textId="77777777" w:rsidR="009802DF" w:rsidRDefault="0010274A">
            <w:pPr>
              <w:spacing w:line="195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администратор источников финансирования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0AFE2E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C61EC6" w14:textId="77777777" w:rsidR="009802DF" w:rsidRDefault="009802DF">
            <w:pPr>
              <w:rPr>
                <w:sz w:val="20"/>
              </w:rPr>
            </w:pP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9779A1" w14:textId="77777777" w:rsidR="009802DF" w:rsidRDefault="009802DF">
            <w:pPr>
              <w:rPr>
                <w:sz w:val="20"/>
              </w:rPr>
            </w:pPr>
          </w:p>
        </w:tc>
      </w:tr>
      <w:tr w:rsidR="009802DF" w14:paraId="6925526D" w14:textId="77777777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262166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дефицита бюджета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  <w:t>ГОСУДАРСТВЕННАЯ ИНСПЕКЦИЯ ЗАБАЙКАЛЬСКОГО КРАЯ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         </w:t>
            </w:r>
          </w:p>
          <w:p w14:paraId="07DC13D6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F19AB0" w14:textId="77777777" w:rsidR="009802DF" w:rsidRDefault="0010274A">
            <w:pPr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Глава по БК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C81046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072</w:t>
            </w:r>
          </w:p>
        </w:tc>
      </w:tr>
      <w:tr w:rsidR="009802DF" w14:paraId="20355D5D" w14:textId="77777777">
        <w:trPr>
          <w:trHeight w:val="280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D80952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Наименование бюджета 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EA73F2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6EC6A1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C705C6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3C82F527" w14:textId="77777777">
        <w:trPr>
          <w:trHeight w:val="210"/>
        </w:trPr>
        <w:tc>
          <w:tcPr>
            <w:tcW w:w="0" w:type="auto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4B89DC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(публично-правового образования)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</w:rPr>
              <w:t>Бюджет субъекта - Забайкальский край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  <w:p w14:paraId="7EF484ED" w14:textId="77777777" w:rsidR="009802DF" w:rsidRDefault="0010274A">
            <w:pPr>
              <w:spacing w:line="210" w:lineRule="atLeas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   </w:t>
            </w: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9C674C" w14:textId="77777777" w:rsidR="009802DF" w:rsidRDefault="0010274A">
            <w:pPr>
              <w:spacing w:line="210" w:lineRule="atLeast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по ОКТМО</w:t>
            </w:r>
          </w:p>
        </w:tc>
        <w:tc>
          <w:tcPr>
            <w:tcW w:w="246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337100" w14:textId="77777777" w:rsidR="009802DF" w:rsidRDefault="0010274A">
            <w:pPr>
              <w:spacing w:line="210" w:lineRule="atLeast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>76701000</w:t>
            </w:r>
          </w:p>
        </w:tc>
      </w:tr>
      <w:tr w:rsidR="009802DF" w14:paraId="057F792F" w14:textId="77777777">
        <w:trPr>
          <w:trHeight w:val="315"/>
        </w:trPr>
        <w:tc>
          <w:tcPr>
            <w:tcW w:w="594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039F14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Периодичность:   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месячная, квартальная, годовая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FA87CD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388C88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461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273F4B5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6F697631" w14:textId="77777777">
        <w:trPr>
          <w:trHeight w:val="282"/>
        </w:trPr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58A0BF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Единица измерения: руб.</w:t>
            </w: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1B7A5C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31CD06" w14:textId="77777777" w:rsidR="009802DF" w:rsidRDefault="0010274A">
            <w:pPr>
              <w:spacing w:before="240" w:beforeAutospacing="1" w:after="240" w:afterAutospacing="1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    по ОКЕИ</w:t>
            </w:r>
          </w:p>
        </w:tc>
        <w:tc>
          <w:tcPr>
            <w:tcW w:w="24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934276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383</w:t>
            </w:r>
          </w:p>
        </w:tc>
      </w:tr>
      <w:tr w:rsidR="009802DF" w14:paraId="12A38D67" w14:textId="77777777">
        <w:trPr>
          <w:trHeight w:val="282"/>
        </w:trPr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E82106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2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47BA52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150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C3BF26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461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88C2BC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390CAE4D" w14:textId="77777777">
        <w:trPr>
          <w:trHeight w:val="282"/>
        </w:trPr>
        <w:tc>
          <w:tcPr>
            <w:tcW w:w="0" w:type="auto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747080" w14:textId="77777777" w:rsidR="009802DF" w:rsidRDefault="009802DF">
            <w:pPr>
              <w:rPr>
                <w:sz w:val="24"/>
              </w:rPr>
            </w:pPr>
          </w:p>
        </w:tc>
      </w:tr>
    </w:tbl>
    <w:p w14:paraId="3687849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     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ным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постановлением Правительства Забайкальского края от </w:t>
      </w:r>
      <w:bookmarkStart w:id="1" w:name="OLE_LINK1"/>
      <w:bookmarkStart w:id="2" w:name="OLE_LINK3"/>
      <w:bookmarkStart w:id="3" w:name="OLE_LINK2"/>
      <w:bookmarkEnd w:id="1"/>
      <w:bookmarkEnd w:id="2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02 декабря 2016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года  №</w:t>
      </w:r>
      <w:bookmarkEnd w:id="3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443, Инспекция является органом исполнительной власти и осуществляет следующие полномочия: </w:t>
      </w:r>
    </w:p>
    <w:p w14:paraId="07F716D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 государственный контроль (надзор) в области долевого строительства многоквартирны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 домов и (или) иных объектов недвижимости;</w:t>
      </w:r>
    </w:p>
    <w:p w14:paraId="2D33D22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региональный государственный строительный надзор;</w:t>
      </w:r>
    </w:p>
    <w:p w14:paraId="3811134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контроль за использованием и сохранностью жилищного фонда края, соответствием жилых помещений данного фонда, установленным санитарным 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техническим правилам и нормам, иным требованиям законодательства, а также за деятельностью жилищно-строительных кооперативов, связанной со строительством многоквартирных домов;</w:t>
      </w:r>
    </w:p>
    <w:p w14:paraId="021D7C1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региональный государственный жилищный надзор;</w:t>
      </w:r>
    </w:p>
    <w:p w14:paraId="402E240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лицензирование 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управлению многоквартирными домами;</w:t>
      </w:r>
    </w:p>
    <w:p w14:paraId="4529A1D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 региональный государственный надзор в области технического состояния и эксплуатации самоходных машин и других видов техники, аттракционов;</w:t>
      </w:r>
    </w:p>
    <w:p w14:paraId="6932E93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 государственную регистрацию самоходных машин и других видов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техники, аттракционов.</w:t>
      </w:r>
    </w:p>
    <w:p w14:paraId="612A6FB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Инспекция в своей деятельности руководствуется Конституцией РФ и федеральными законами, Указами Президента РФ и распоряжениями Правительства РФ, Уставом Забайкальского края, законами Забайкальского края, постановлениями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Законодательн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ого собрания Забайкальского края, постановлениями и распоряжениями Правительства Забайкальского края и Губернатора Забайкальского края, иными нормативными правовыми актами Забайкальского края и Положением об Инспекции, утвержденным постановлением Правитель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ства Забайкальского края от 02 декабря 2016 года № 443. </w:t>
      </w:r>
    </w:p>
    <w:p w14:paraId="340DE12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Инспекция осуществляет свою деятельность во взаимодействии с федеральными органами государственной власти и их территориальными подразделениями, органами государственной власти Забайкальского края,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рганами местного самоуправления, организациями всех форм собственности и гражданами Забайкальского края.</w:t>
      </w:r>
    </w:p>
    <w:p w14:paraId="13829AA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Инспекция наделена правами главного распорядителя бюджетных средств и главного администратора доходов. Инспекция является получателем средств бюджета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убъекта РФ (Забайкальского края). Расходные обязательства формируются в соответствии с Законами Забайкальского края на очередной финансовый год и два последующих года. </w:t>
      </w:r>
    </w:p>
    <w:p w14:paraId="14741FE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Управлении Федерального казначейства по Забайкальскому краю открыты лицевые счета:</w:t>
      </w:r>
    </w:p>
    <w:p w14:paraId="45F8F14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01912204480 - главного распорядителя бюджетных средств; </w:t>
      </w:r>
    </w:p>
    <w:p w14:paraId="7A4E17F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- 03912204480 - получателя бюджетных средств; </w:t>
      </w:r>
    </w:p>
    <w:p w14:paraId="20FB899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- 04912204480 – главного администратора доходов; </w:t>
      </w:r>
    </w:p>
    <w:p w14:paraId="6CDA851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- 05912204480 - для учета операций со средствами, поступающими во временное распоряжение получател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бюджетных средств. </w:t>
      </w:r>
    </w:p>
    <w:p w14:paraId="1630299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Инспекция расчетных 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иных  банковских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счетов не имеет.</w:t>
      </w:r>
    </w:p>
    <w:p w14:paraId="50B8006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Юридический   и почтовый адрес: 672012, Забайкальский край, г. Чита, ул.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Новобульварная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д.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36.</w:t>
      </w:r>
    </w:p>
    <w:p w14:paraId="3DF3A5D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Инспекция подведомственных учреждений не имеет. </w:t>
      </w:r>
    </w:p>
    <w:p w14:paraId="472DF4B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Бухгалтерский учет ведет Краевое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государственное учреждение бухгалтерского обслуживания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Интегра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основании договора на выполнение работ по ведению бюджетного (бухгалтерского) учета № 18/07 от 01.09.2018. Бухгалтерская отчетность Инспекции составлена начальником отдела расчетов с поста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вщиками КГУ БО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Интегра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» А.А. Маркеловой.</w:t>
      </w:r>
    </w:p>
    <w:p w14:paraId="4911A82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                </w:t>
      </w:r>
    </w:p>
    <w:p w14:paraId="456CEFA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                  Раздел 2. Результаты деятельности субъекта бюджетной отчетности.</w:t>
      </w:r>
    </w:p>
    <w:p w14:paraId="7F32D3C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5BF43C28" w14:textId="77777777" w:rsidR="009802DF" w:rsidRDefault="0010274A">
      <w:pPr>
        <w:ind w:firstLine="72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Отдел государственного контроля (надзора) в области долевого строительства и финансово-экономического обеспече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ния.</w:t>
      </w:r>
    </w:p>
    <w:p w14:paraId="43B4BEE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080C346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рамках реализации полномочий по государственному контролю (надзору) в области долевого строительства многоквартирных домов и (или) иных объектов недвижимости плановые проверки в отношении застройщиков в соответствии с действующим законодательством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предусмотрены. Основными административными процедурами при осуществлении регионального государственного контроля (надзора) являются организация и проведение внеплановых проверок, а также организация и проведение мероприятий без взаимодействия.</w:t>
      </w:r>
    </w:p>
    <w:p w14:paraId="57432BC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связи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ограничениями, введенными постановлением Правительства Российской Федерации от 10 марта 2022 года № 336 «Об особенностях организации и осуществления государственного контроля (надзора), муниципального контроля», в целях повышения эффективности контрольно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-надзорной деятельности в приоритете Инспекции находится работа, направленная на профилактику и предупреждение нарушений застройщиками законодательства в области долевого строительства. </w:t>
      </w:r>
    </w:p>
    <w:p w14:paraId="46F2913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 2024 году в отношении 16 юридических лиц проведено 594 контрольно-н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адзорных и профилактических мероприятия, в том числе 236 мероприятия без взаимодействия (в 1 полугодии - 113, во 2 полугодии - 123). По результатам мероприятий в деятельности юридических лиц, привлекающих денежные средства участников долевого строительства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строительства многоквартирных домов и (или) иных объектов недвижимости на территории Забайкальского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края,  нарушений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выявлено. Протоколы об административных правонарушениях не составлялись.</w:t>
      </w:r>
    </w:p>
    <w:p w14:paraId="62BA89E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294869D6" w14:textId="77777777" w:rsidR="009802DF" w:rsidRDefault="0010274A">
      <w:pPr>
        <w:ind w:firstLine="72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Отдел по строительному надзору.</w:t>
      </w:r>
    </w:p>
    <w:p w14:paraId="5A10FC3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58A818F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 реализации полномочий по региональному государственному строительному надзору было проведено 200 внеплановых проверок (в 1 полугодии - 64, во 2 полугодии - 136), проверки документарные, выездные. Направлено в органы прокуратуры 4 заявления о согласован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ии проведения внеплановых выездных проверок (0 - в 1 полугодии, 4 - во втором полугодии). Из них согласовано проведение 0 проверок. </w:t>
      </w:r>
    </w:p>
    <w:p w14:paraId="43D3109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результате проведения контрольных мероприятий было выявлено 21 правонарушение (7 - в 1 полугодии, 14 - во 2 полугодии).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 проведении проверок были выявлены правонарушения у 15 (в 1 полугодии 6, во 2 полугодии - 9) юридических лиц (юридические лица осуществляют деятельность на территории Забайкальского края). В деятельности юридических лиц были выявлены нарушения обязательн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ых требований, представляющие непосредственную угрозу причинения вреда жизни и здоровья граждан. </w:t>
      </w:r>
    </w:p>
    <w:p w14:paraId="1330BF5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Всего за отчетный период проверки проводились в отношении 47 юридических лиц и индивидуальных предпринимателей (подконтрольные лица частично совпадают с подко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нтрольными лицами в рамках государственного контроля (надзора) в области долевого строительства многоквартирных домов).</w:t>
      </w:r>
    </w:p>
    <w:p w14:paraId="5029F6F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74F4A464" w14:textId="77777777" w:rsidR="009802DF" w:rsidRDefault="0010274A">
      <w:pPr>
        <w:ind w:firstLine="72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Государственный жилищный надзор и лицензионный контроль.</w:t>
      </w:r>
    </w:p>
    <w:p w14:paraId="68538CC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684CC99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Государственный жилищный надзор и лицензионный контроль осуществлялся в 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 году Инспекцией в отношении: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132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управляющих организаций,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97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товариществ собственников жилья,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1731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многоквартирного дома при непосредственном управлении либо при отсутствии решения о способе управления.</w:t>
      </w:r>
    </w:p>
    <w:p w14:paraId="64DFA0F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2024 году Инспекцией в рамках осуществления регио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нального государственного жилищного надзора и лицензионного контроля проведено 346 проверок, по результатам которых выдано 227 предписаний, направлено 1504 предостережения, произведен перерасчет на сумму 6 169 986,33 руб., возбуждено 167 дел об администрат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ивных правонарушениях, сумма вынесенных штрафов по административным делам составила 6 031,3 тыс. руб. </w:t>
      </w:r>
    </w:p>
    <w:p w14:paraId="72300E0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Предоставлено 13 лицензий на право осуществления деятельности по управлению многоквартирными домами, прекращено действие 28 лицензий, принято решение о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ключении 369 многоквартирных домов в реестр лицензий, отказано во включении в реестр лицензий по 30 многоквартирным домам, выдано 24 квалификационных аттестата руководителям управляющих организаций, отказано в выдаче 35 руководителям.</w:t>
      </w:r>
    </w:p>
    <w:p w14:paraId="3896457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77F4691B" w14:textId="77777777" w:rsidR="009802DF" w:rsidRDefault="0010274A">
      <w:pPr>
        <w:ind w:firstLine="72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Отдел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государственного технического надзора</w:t>
      </w:r>
    </w:p>
    <w:p w14:paraId="7671207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</w:t>
      </w:r>
    </w:p>
    <w:p w14:paraId="6CF6CE7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 2024 год инспекторами отдела государственного технического надзора Инспекции произведено 4933 действия регистрационного характера, в том числе зарегистрировано 2527 ед. техники, снято с учета 1695 ед. техники, про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изведена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замена  711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регистрационных документов. По состоянию на 31.12.2024г. зарегистрировано 36493 ед. самоходной техники.  Кроме того, инспекторами Инспекции осуществлялись действия по приему экзаменов на право управления самоходными машинами и выдаче 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достоверений тракториста - машиниста (тракториста) в количестве 3726 шт. и временных удостоверений – 21 шт. Составлено протоколов об административном правонарушении 956 шт. на сумму 636,5 тыс. руб. </w:t>
      </w:r>
    </w:p>
    <w:p w14:paraId="535C953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2024 году в рамках осуществления регионального государс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твенного надзора в области технического состояния и эксплуатации аттракционов в адрес Инспекции поступило 21 заявления о регистрации аттракционов, из них зарегистрировано 0 аттракциона степени потенциального биомеханического риска RB-1, 11 аттракционов сте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пени потенциального биомеханического риска RB-2 и 10 аттракционов степени потенциального биомеханического риска RB-3.</w:t>
      </w:r>
    </w:p>
    <w:p w14:paraId="21D4FF9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Временная регистрация ранее зарегистрированных аттракционов на территории Забайкальского края не осуществлялась. Приостановлена регистраци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0 аттракционов. Возобновлена регистрация 0 аттракционов. Прекращение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регистрации  аттракционов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осуществлялось. </w:t>
      </w:r>
    </w:p>
    <w:p w14:paraId="035D84C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 аттракционы из зарегистрированных проверены и соответствуют требованиям Технического регламента ЕАЭС «О безопасности аттракционов» (ТР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ЕАЭС 038/2016).</w:t>
      </w:r>
    </w:p>
    <w:p w14:paraId="35BB2F4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Отделом технического надзора осуществлялся сбор от районных инспекторов края еженедельной информации о произведенных регистрационных действиях для обработки и передачи сведений в Управление федеральной налоговой службы по Забайкальскому кра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ю, а также для передачи ежемесячной данной информации в службу судебных приставов и в военкомат по Забайкальскому краю.</w:t>
      </w:r>
    </w:p>
    <w:p w14:paraId="69120CC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Штатная численность Инспекции на 01 января 2025 года составила 120 единиц, в том числе 96 единиц госслужащих, 24 должности </w:t>
      </w:r>
      <w:bookmarkStart w:id="4" w:name="OLE_LINK10"/>
      <w:bookmarkStart w:id="5" w:name="OLE_LINK12"/>
      <w:bookmarkStart w:id="6" w:name="OLE_LINK11"/>
      <w:bookmarkEnd w:id="4"/>
      <w:bookmarkEnd w:id="5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основе про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фессиональных квалификационных групп</w:t>
      </w:r>
      <w:bookmarkEnd w:id="6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Фактически замещено должностей на конец 2024 года – 103 единицы, из них 83 единицы госслужащих и 20 должность на основе профессиональных квалификационных групп. Среднесписочная численность за 2024 год составила 98,9 че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л. </w:t>
      </w:r>
    </w:p>
    <w:p w14:paraId="7481723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В 2024 году 25 сотрудников Инспекции прошли курсы повышения квалификации по следующим направлениям: Эффективные переговоры, Навыки личной эффективности, Профессиональная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клиентоцентричность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 основы взаимодействия и коммуникации, Основы профилактики ко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ррупции, Информационные и коммуникационные технологии,  Тренинговые технологии в бережливом управлении, Основы графического дизайна для государственных и муниципальных служащих, Основы осуществления полномочий в контрольной (надзорной) деятельности, Корпор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ативная культура. Дресс-код на государственной гражданской службе, Лидерство и построение эффективной команды, Антимонопольный комплаенс, Управленческий цикл для руководителя.</w:t>
      </w:r>
    </w:p>
    <w:p w14:paraId="25081AE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Балансовая стоимость всех основных средств </w:t>
      </w:r>
      <w:bookmarkStart w:id="7" w:name="OLE_LINK19"/>
      <w:bookmarkStart w:id="8" w:name="OLE_LINK21"/>
      <w:bookmarkStart w:id="9" w:name="OLE_LINK20"/>
      <w:bookmarkEnd w:id="7"/>
      <w:bookmarkEnd w:id="8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составляет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15 030 630,55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</w:t>
      </w:r>
      <w:bookmarkEnd w:id="9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соста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ве основных средств:</w:t>
      </w:r>
    </w:p>
    <w:p w14:paraId="42FCBEE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недвижимое имущество на сумму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200 000,00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руб., что составляет 1,3% от общей стоимости основных средств; </w:t>
      </w:r>
    </w:p>
    <w:p w14:paraId="7534531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машины и оборудование на сумму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6 328 049,58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руб., что составляет 42,1% от общей стоимости основных средств; </w:t>
      </w:r>
    </w:p>
    <w:p w14:paraId="7365B6B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транспортные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средства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6 381 064,81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руб., что составляет 42,5% от общей стоимости основных средств;</w:t>
      </w:r>
    </w:p>
    <w:p w14:paraId="2020287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 - производственный и хозяйственный инвентарь на сумму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2 106 516,16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руб., что составляет 14,0 % от общей стоимости основных средств;</w:t>
      </w:r>
    </w:p>
    <w:p w14:paraId="0CBDDCF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прочие основные средства -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15 0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руб., что составляет 0,1% от общей стоимости основных средств. </w:t>
      </w:r>
    </w:p>
    <w:p w14:paraId="6AD2A0E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 основные средства используются, излишних или неиспользуемых нет. </w:t>
      </w:r>
    </w:p>
    <w:p w14:paraId="2D72DDF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2024 году кассовые расходы составили 133 699 221,52 руб. В составе расходов: заработная плата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начислениями страховых взносов, обязательное страхование гражданской ответственности владельцев средств транспорта, командировочные расходы, расходы за услуги связи, техническое обслуживание средств охраны, возмещение затрат на содержание имущества и аренд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помещений, расходы на приобретение ГСМ, материальных запасов, канцелярии, основных средств, расходы за услуги по сопровождению и обновлению компьютерных программ, а также по уплате транспортного налога и НДС.</w:t>
      </w:r>
    </w:p>
    <w:p w14:paraId="2AB8FFF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163FFD3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Раздел 3. Анализ отчета об исполнении бюдже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та субъектом бюджетной отчетности.</w:t>
      </w:r>
    </w:p>
    <w:p w14:paraId="2FE2356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14282F2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Инспекция является исполнительным органом Забайкальского края. Инспекция не осуществляет приносящую доход деятельность. Текстовые статьи закона о бюджете, касающиеся приоритетных национальных проектов не связаны с деяте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льностью Инспекции.</w:t>
      </w:r>
    </w:p>
    <w:p w14:paraId="64A69B0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Инспекция наделена полномочиями администратора доходов бюджета Забайкальского края по государственной пошлине за государственную регистрацию самоходных машин и других видов техники, а также за совершение прочих юридически значимых дейст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вий и по платежам, взимаемых государственными организациями субъектов Российской Федерации за выполнение определенных функций, и государственной пошлине за действие уполномоченных органов, связанные с лицензированием предпринимательской деятельности по упр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авлению многоквартирными домами. На 2024г. было запланировано поступлений на сумму 23 203 000,00 руб., из них за 2024г. фактически поступило в доход бюджета Забайкальского края 24 329 845,01 руб. (104,9% от плановых назначений), в том числе:</w:t>
      </w:r>
    </w:p>
    <w:p w14:paraId="66953E0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1) государстве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нная пошлина: </w:t>
      </w:r>
    </w:p>
    <w:p w14:paraId="067A0D2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КБК 07210807142010000110: план – 19 379 000,00 руб., исполнено – 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19 816 530,93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руб. (процент исполнения составил 102,3 %); </w:t>
      </w:r>
    </w:p>
    <w:p w14:paraId="135867B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КБК 07210807400010000110: план –0,00 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60 000,00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руб.;</w:t>
      </w:r>
    </w:p>
    <w:p w14:paraId="4190A92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2) административные платежи:</w:t>
      </w:r>
    </w:p>
    <w:p w14:paraId="65B73CA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07211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502020020000140: план – 2 872 500,00 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3 184 476,09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(процент исполнения составил 110,9%);</w:t>
      </w:r>
    </w:p>
    <w:p w14:paraId="419E9E9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3) штрафы, санкции, возмещение ущерба:</w:t>
      </w:r>
    </w:p>
    <w:p w14:paraId="7D3620F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КБК 07211601072010233140: план – 317 100,00 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372 950,00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(процент исполнения соста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вил 117,6%);</w:t>
      </w:r>
    </w:p>
    <w:p w14:paraId="209B094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07211601080010000140: план – 400,00 руб., исполнено – 0,00 руб. (Фактически поступившие доходы на указанный КБК были уточнены на другой КБК исходя из их экономического содержания после уточнения плановых назначений);</w:t>
      </w:r>
    </w:p>
    <w:p w14:paraId="76BFE47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КБК 07211601092010004140: план –60 000,00 руб., исполнено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– 215 000,00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(процент исполнения составил 358,3%);</w:t>
      </w:r>
    </w:p>
    <w:p w14:paraId="3AADD81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КБК 07211601092019000140: план – 369 400,00 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470 248,76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(процент исполнения составил 127,3%);</w:t>
      </w:r>
    </w:p>
    <w:p w14:paraId="3A46EEC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КБК 0721160112201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0000140: план – 64 700,00руб.,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59 683,33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(процент исполнения составил 92,2%);</w:t>
      </w:r>
    </w:p>
    <w:p w14:paraId="4E43F42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 - КБК 07211601192010005140: план – 131 300,00 руб., исполнено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142 300,00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(процент исполнения составил 108,4%).</w:t>
      </w:r>
    </w:p>
    <w:p w14:paraId="1FFA798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КБК 07211701020020000180 -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(-0,60)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невыясненный платеж, числящийся по состоянию на 01.01.2024г., уточнен в 2024 году.</w:t>
      </w:r>
    </w:p>
    <w:p w14:paraId="6714DF1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Возврат дебиторской задолженности прошлых лет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(КБК 11302992020000130) составил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8 656,5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 согласно договору от 02.02.2024 № 29/23-Ф75, заключенному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 УФПС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Забайкальско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го края за услуги почты.</w:t>
      </w:r>
    </w:p>
    <w:p w14:paraId="26BF9E9F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Финансирование расходов на содержание Инспекции и выполнения ею своих полномочий осуществляется за счет средств, предусмотренных в бюджете края.</w:t>
      </w:r>
    </w:p>
    <w:p w14:paraId="2034F9C1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Для реализации возложенных функций и полномочий Инспекции в 2024 году первоначально на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значено средств бюджета в размере 117 334,4 тыс. руб., согласно уточненной бюджетной росписи –133 750,3 тыс. руб. Изменение составило +16 415,9 тыс. руб.</w:t>
      </w:r>
    </w:p>
    <w:p w14:paraId="2B5E193C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Изменения вносились следующими нормативными документами:</w:t>
      </w:r>
    </w:p>
    <w:p w14:paraId="53FAEE82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-Законом Забайкальского края № 3439-ЗЗК от 27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.11.2024 г. «О внесении изменений в закон Забайкальского края № 2303-ЗЗК от 27.12.2024г. «О бюджете Забайкальского края на 2024 год и плановый период 2025 и 2026 годов» (+5 380,0 тыс. руб.);</w:t>
      </w:r>
    </w:p>
    <w:p w14:paraId="5C9CD7A7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 -Законом Забайкальского края № 2445-ЗЗК от 20.12.2024 г. «О внес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ении изменений в закон Забайкальского края № 2303-ЗЗК от 27.12.2024г. «О бюджете Забайкальского края на 2024 год и плановый период 2025 и 2026 годов» (+10 971,5 тыс. руб.);</w:t>
      </w:r>
    </w:p>
    <w:p w14:paraId="080A0720" w14:textId="77777777" w:rsidR="009802DF" w:rsidRDefault="0010274A">
      <w:pPr>
        <w:ind w:firstLine="70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- в декабре 2024 года внесены изменения в сводную бюджетную роспись, которые не учт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ены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в  законе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Забайкальского края № 2303-ЗЗК от 27.12.2024г. «О бюджете Забайкальского края на 2024 год и плановый период 2025 и 2026 годов» (+64,4 тыс. руб.).</w:t>
      </w:r>
    </w:p>
    <w:p w14:paraId="03C007D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78FA1CF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Всего на 2024 год утверждены бюджетные ассигнования в сумме 133 750 278,0 руб. Кассовый расход за 2024 год составил 133 699 221,52 руб. Расходы бюджета в целом исполнены на 99,96 %, неисполнение составило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51 056,48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в том числе:</w:t>
      </w:r>
    </w:p>
    <w:p w14:paraId="2E374492" w14:textId="77777777" w:rsidR="009802DF" w:rsidRDefault="0010274A">
      <w:pP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 - 0405 88000 29400 12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9 213 – 1 343,56 руб. (процент исполнения составил 99,99%) - в заявке на кассовый расход сумма платежа была ошибочно указана меньше, чем фактическая кредиторская задолженность;</w:t>
      </w:r>
    </w:p>
    <w:p w14:paraId="194E581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- 0405 88000 49300 242 346 – 3,25 руб. (процент исполнения составил 100,00%) 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фактические расходы на приобретение материальных запасов ниже запланированной величины;</w:t>
      </w:r>
    </w:p>
    <w:p w14:paraId="6D96A6B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- 0405 88000 49300 244 346 – 2 409,34 руб. (процент исполнения составил 99,46%);</w:t>
      </w:r>
    </w:p>
    <w:p w14:paraId="4786F9C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- 0405 88000 49300 247 223 – 818,61 руб. (процент исполнения составил 98,28%) - фактиче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ские расходы на электроэнергию ниже запланированных, акт по оплате расходов за декабрь 2024 года поступил в январе 2025 года;</w:t>
      </w:r>
    </w:p>
    <w:p w14:paraId="2028F06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- 0405 88000 49300 852 291 – 8 392,0 руб. (процент исполнения составил 67,72%) – фактические расходы на уплату налога ниже заплани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рованных;</w:t>
      </w:r>
    </w:p>
    <w:p w14:paraId="5D9C7B1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- 0412 88000 29400 122 226 – 5 633,87 руб. (процент исполнения составил 97,72%) – командировочные расходы ниже запланированных;</w:t>
      </w:r>
    </w:p>
    <w:p w14:paraId="572ACDA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- 0412 88000 49300 242 225 – 5 600,00 руб. (процент исполнения составил 93,37%) – расходы на заправку картриджей и рем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онт оргтехники ниже запланированных;</w:t>
      </w:r>
    </w:p>
    <w:p w14:paraId="201FCD7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- 0505 88000 29400 122 212 – 1 150,00 руб. (процент исполнения составил 93,78%) - командировочные расходы ниже запланированных;</w:t>
      </w:r>
    </w:p>
    <w:p w14:paraId="7F1A339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- 0505 88000 29400 122 226 – 20 436,1 руб. (процент исполнения составил 92,31%) - командиро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вочные расходы ниже запланированных;</w:t>
      </w:r>
    </w:p>
    <w:p w14:paraId="2B3AB84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- 0505 88000 29400 129 213 – 5 152,79 руб. (процент исполнения составил 99,96%) – расходы на страховые взносы ниже запланированных по причине наличия выплат, не облагаемых страховыми взносами (пособие по временной нетру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доспособности, материальная помощь);</w:t>
      </w:r>
    </w:p>
    <w:p w14:paraId="06BD002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- 0505 88000 49300 244 224 – 0,51 руб. (процент исполнения составил 100,00%) – расходы на аренду и возмещение расходов по арендуемому помещению ниже запланированных;</w:t>
      </w:r>
    </w:p>
    <w:p w14:paraId="1BBC532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- 0505 88000 49300 244 225 – 116,45 руб. (процент исп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олнения составил 99,69%) – расходы на содержание имущества ниже запланированных. </w:t>
      </w:r>
    </w:p>
    <w:p w14:paraId="22CFD23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Все вышеперечисленные причины не позволили Инспекции в полном объеме освоить бюджетные ассигнования.</w:t>
      </w:r>
    </w:p>
    <w:p w14:paraId="19C0854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09C529CB" w14:textId="77777777" w:rsidR="009802DF" w:rsidRDefault="0010274A">
      <w:pPr>
        <w:ind w:firstLine="72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Раздел 4. Анализ показателей финансовой отчетности субъекта бюджетной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отчетности.</w:t>
      </w:r>
    </w:p>
    <w:p w14:paraId="6BE10B0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3371649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Нефинансовые активы (основные средства и другие материальные ценности) отражаются в учете в момент поступления; материальные запасы списываются по мере отпуска в эксплуатацию. Амортизация основных средств начисляется линейным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способом, исходя из балансовой стоимости объектов основных средств и нормы амортизации, исчисленной исходя из срока полезного использования этого объекта. Балансовая стоимость основных средств на 01.01.2024г. составляла 16 456 123,03 руб. В 2024г. выбытие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основных средств (списание при вводе в эксплуатацию, списание пришедших в негодность объектов основных средств и инвентаря) составило 1 425 492,48 руб. в т.ч.:</w:t>
      </w:r>
    </w:p>
    <w:p w14:paraId="202D96C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машины и оборудование – 1 274 863,14 руб.;</w:t>
      </w:r>
    </w:p>
    <w:p w14:paraId="0FFD3B0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инвентарь производственный и хозяйственный -150 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29,34 руб.</w:t>
      </w:r>
    </w:p>
    <w:p w14:paraId="00CEA8B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Балансовая стоимость основных средств на 01.01.2025г. составила 15 030 630,55 руб.</w:t>
      </w:r>
    </w:p>
    <w:p w14:paraId="132AD27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01.01.2024г. остаток материальных запасов составил 2 413 813,95 руб. За 2024г. поступило материальных запасов на сумму 3 392 847,4 руб. в т.ч.: материалы для 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озяйственных нужд, бумага офисная, государственные регистрационные знаки, автошины, автокамеры, ГСМ и т.д. Списано материальных запасов на сумму 4 555 115,07 руб., остаток материальных запасов на 01.01.2025 г. составил 1 251 546,28 руб.</w:t>
      </w:r>
    </w:p>
    <w:p w14:paraId="6CD8E73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Финансовые активы: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учет кассовых операций ведется в валюте Российской Федерации. При оформлении и учете кассовых операций Инспекция руководствуется порядком ведения кассовых операций в Российской Федерации, установленным Центральным банком Российской Федерации. Лимит кассы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2024 год в Инспекции не установлен. Наличных денежных средств на 01.01.2025г. года в кассе Инспекции нет, остаток денежных документов по фондовой кассе отсутствует. </w:t>
      </w:r>
    </w:p>
    <w:p w14:paraId="582BE37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</w:t>
      </w:r>
    </w:p>
    <w:p w14:paraId="26C3303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 об изменении остатков валюты баланса (форма 0503173Б).</w:t>
      </w:r>
    </w:p>
    <w:p w14:paraId="291D86D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</w:t>
      </w:r>
    </w:p>
    <w:p w14:paraId="6CCAF6A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Валюта баланса Учреж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дения уменьшилась на 723 797,8 руб. в том числе:</w:t>
      </w:r>
    </w:p>
    <w:p w14:paraId="4164DA2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уменьшение дебиторской задолженности по доходам на 532 000,0 руб. обусловлено корректировкой начислений доходов в сторону уменьшения по причине изменения действующего законодательства;</w:t>
      </w:r>
    </w:p>
    <w:p w14:paraId="5512E01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уменьшение дебиторской задолженности по доходам на 175 000,0 руб. по причине позднего поступления первичных документов;</w:t>
      </w:r>
    </w:p>
    <w:p w14:paraId="502ABF5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уменьшение дебиторской задолженности подотчетного лица на 16 797,8 руб. по причине позднего поступления первичных документов (отчет 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расходах подотчетного лица).</w:t>
      </w:r>
    </w:p>
    <w:p w14:paraId="12FB84A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561C29B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Кредиторская задолженность Инспекции в части доходов по состоянию на 01.01.2025г.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отсутсвует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14:paraId="117A57A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1D80B42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Кредиторская задолженность Инспекции в части расходов на 01.01.2025г.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составила  1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378,57 руб., в т.ч.:</w:t>
      </w:r>
    </w:p>
    <w:p w14:paraId="6D8AF40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06C0D0E5" w14:textId="77777777" w:rsidR="009802DF" w:rsidRDefault="0010274A">
      <w:pP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        - КБК 0405 880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00 29400 129 213 – 1 343,56 руб. – страховые взносы: в заявке на кассовый расход сумма платежа была ошибочно указана меньше, чем фактическая кредиторская задолженность;</w:t>
      </w:r>
    </w:p>
    <w:p w14:paraId="2E1A8994" w14:textId="77777777" w:rsidR="009802DF" w:rsidRDefault="0010274A">
      <w:pP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0405 88000 49300 247 223 – 35,01 руб. – задолженность за потребленную электроэнер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гию: документы на оплату расходов за декабрь 2024 года поступили в январе 2025 года.    </w:t>
      </w:r>
    </w:p>
    <w:p w14:paraId="4B1CC8EF" w14:textId="77777777" w:rsidR="009802DF" w:rsidRDefault="0010274A">
      <w:pP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2A554E5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Дебиторская задолженность в части доходов по состоянию на 01.01.2024г. составила 3 111 492,16 руб., что на 290 382,09 руб.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или  9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,3% ниже аналогичного показателя про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шлого года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14:paraId="25AA5CE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 КБК 11601072010233140 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637 250,00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руб. (Административные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правонарушения);</w:t>
      </w:r>
    </w:p>
    <w:p w14:paraId="13BBF8B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КБК 11601092010004140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1 365 002,18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 (Адми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нистративные штрафы, установленные Главой 9 Кодекса Российской Федерации об административных правонарушениях, за административные правонарушения);</w:t>
      </w:r>
    </w:p>
    <w:p w14:paraId="2D407D2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КБК 11601092019000140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367 416,61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(Административные штрафы, установленные Главой 9 Кодекса Российской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Федерации об административных правонарушениях, за административные правонарушения);</w:t>
      </w:r>
    </w:p>
    <w:p w14:paraId="1E0E661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КБК 11601122010000140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126 818,32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(Административные штрафы, установленные Главой 12 Кодекса Российской Федерации об административных правонарушениях, за администра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тивные правонарушения)</w:t>
      </w:r>
    </w:p>
    <w:p w14:paraId="296F2BD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КБК 11601132019000140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32 000,00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(Административные штрафы, установленные Главой 13 Кодекса Российской Федерации об административных правонарушениях, за административные правонарушения);</w:t>
      </w:r>
    </w:p>
    <w:p w14:paraId="28F0B1E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КБК 11601142019000140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259 000,00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б. (Административные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правонарушения);</w:t>
      </w:r>
    </w:p>
    <w:p w14:paraId="34E53DD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КБК 11601192010005140 –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33 622,96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(Административные штрафы, установленные Главой 19 Кодекса 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оссийской Федерации об административных правонарушениях, за административные правонарушения).</w:t>
      </w:r>
    </w:p>
    <w:p w14:paraId="5981211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 результатам рассмотрения дела может быть вынесено постановление о назначении административного наказания в соответствии со ст.29.9 КоАП РФ.</w:t>
      </w:r>
    </w:p>
    <w:p w14:paraId="49DE4E1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Также, протоколы об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административном правонарушении, составленные должностным лицом Инспекции в соответствии со ст.23.1 направляются в судебные органы.</w:t>
      </w:r>
    </w:p>
    <w:p w14:paraId="7067663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Согласно ст.3.2 КоАП РФ за совершение административных правонарушений могут устанавливаться и применяться административные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наказания в виде административного штрафа и предупреждения.</w:t>
      </w:r>
    </w:p>
    <w:p w14:paraId="49C8D78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основании ст.32.2 КоАП РФ административный штраф должен быть уплачен в полном размере лицом, привлеченным к административной ответственности, не позднее шестидесяти дней со дня вступления поста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новления о наложении административного штрафа в законную силу.</w:t>
      </w:r>
    </w:p>
    <w:p w14:paraId="3900E24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случае неоплаты штрафа лицом, привлеченным к административной ответственности, Инспекция в установленные законом сроки направляет постановление по делу об административном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правонарушении в службу судебных приставов для принудительного исполнения.</w:t>
      </w:r>
    </w:p>
    <w:p w14:paraId="71F4C8C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Постановления об административных правонарушениях, вынесенные судами, также направляются в службу судебных приставов с целью их принудительного исполнения.</w:t>
      </w:r>
    </w:p>
    <w:p w14:paraId="56C6789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Инспекцией проводятся сле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дующие мероприятия по снижению имеющейся дебиторской задолженности по доходам:</w:t>
      </w:r>
    </w:p>
    <w:p w14:paraId="170D290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сотрудниками Инспекции ведется непосредственная работа с должниками по их уведомлению о необходимости погасить задолженность посредством телефонных переговоров, смс-уведомлени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й, писем на электронные адреса, подписанию соглашений о рассрочке платежа;</w:t>
      </w:r>
    </w:p>
    <w:p w14:paraId="6EEBA1C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направляются в Службу судебных приставов Забайкальского края постановления о назначении административных наказаний для принятия мер принудительного взыскания;</w:t>
      </w:r>
    </w:p>
    <w:p w14:paraId="60AAE80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отношении должников составляется протокол об административном правонарушении по ст. 20.25 КоАП РФ;</w:t>
      </w:r>
    </w:p>
    <w:p w14:paraId="1795059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ведется работа с реестром кредиторов юридических лиц, в отношении которых открыто конкурсное производство.</w:t>
      </w:r>
    </w:p>
    <w:p w14:paraId="4B03C3D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Учитывая вышеизложенное, Инспекцией принимаются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все зависящие от нее меры, с целью устранения причин возникновения задолженности</w:t>
      </w:r>
    </w:p>
    <w:p w14:paraId="6A7D47C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633879D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Дебиторская задолженность в части расходов по состоянию на 01.01.2025г. составила 29 651,03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руб.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proofErr w:type="gramEnd"/>
    </w:p>
    <w:p w14:paraId="08A7C67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2775790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0405 88000 29400 244 221 – 4 452,23 руб. («АО Почта России»). Согл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асно договору предусмотрен аванс за оказание прочих услуг почтовой связи, на 31.12.2024г. фактические расходы оказались меньше перечисленного аванса. В 2025г. планируется возврат переплаты;    </w:t>
      </w:r>
    </w:p>
    <w:p w14:paraId="60B0EB6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0405 88000 29400 244 221 – 25 198,8 руб. выданы подотчет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ному лицу в конце года марки для отправки корреспонденции.</w:t>
      </w:r>
    </w:p>
    <w:p w14:paraId="7E44349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     </w:t>
      </w:r>
    </w:p>
    <w:p w14:paraId="19A2AB6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Формы 0503128, 0503175 </w:t>
      </w:r>
    </w:p>
    <w:p w14:paraId="10971FF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10B2C08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Превышение бюджетных обязательств над принятыми денежными обязательствами в сумме сложилось в сумме 738,59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по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КБК 0405 8800049300 247 223 (коммунальные услуги)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за счет того, что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принято бюджетных обязательств согласно договорам, заключенным с АО «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Читаэнергосбыт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от 15.01.24г. № 013671, от 28.02.24г. № 032184 на сумму 2 400,00 руб., принято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денежных обязательств на 1 616,41 руб., исполнено бюджетных и денежных об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язательств на сумму 1 581,4 руб. Таким образом, бюджетные обязательства не исполнены на сумму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818,6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руб. Превышение бюджетных обязательств над принятыми денежными обязательствами составило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783,59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руб. Фактические расходы оказались меньше запланированных;</w:t>
      </w:r>
    </w:p>
    <w:p w14:paraId="34915E9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47E7061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Принятые бюджетные обязательства финансовых годов, следующие за отчетным 2024г. составляют 5 768 973,85 руб. из них:</w:t>
      </w:r>
    </w:p>
    <w:p w14:paraId="04E0CF5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резерв на оплату отпусков – 5 768 973,85 руб. в том числе:</w:t>
      </w:r>
    </w:p>
    <w:p w14:paraId="3F7FC8B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0405 88000 29400 121 211 – 1 235 785,15 руб.;</w:t>
      </w:r>
    </w:p>
    <w:p w14:paraId="2443516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0412 88000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29400 121 211 – 1 257 064,87 руб.;</w:t>
      </w:r>
    </w:p>
    <w:p w14:paraId="4597604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0505 88000 29400 121 211 – 1 938 005,47 руб.;</w:t>
      </w:r>
    </w:p>
    <w:p w14:paraId="5B550E35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0405 88000 29400 129 213 – 373 207,12 руб.;</w:t>
      </w:r>
    </w:p>
    <w:p w14:paraId="690EEA9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0412 88000 29400 129 213 – 379 633,59 руб.;</w:t>
      </w:r>
    </w:p>
    <w:p w14:paraId="7C4B36F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КБК 072 0505 88000 29400 129 213 – 4585 277,65 руб.</w:t>
      </w:r>
    </w:p>
    <w:p w14:paraId="6C8888D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4CF62AD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Раздел 5. Прочие вопросы деятельности субъекта бюджетной отчетности.</w:t>
      </w:r>
    </w:p>
    <w:p w14:paraId="1AD5933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0E7E093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Бюджетный учет в Инспекции ведется в соответствии с приказами Министерства финансов РФ № 157н от 01.12.2010г. «Об утверждении единого плана счетов бухгалтерского учета для органов госу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государственным академиями наук, государственными (муниципальными) учреждениями инструкции по его применению» и № 52н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 30.03.2015г.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фондами, государственными (муниципальными) учреждениями, и методических указаний по их применению». Приказ Министерства финансов РФ от 6 декабря 2010 г. № 162н «Об утверждении плана счетов и инструкции по его применению».</w:t>
      </w:r>
    </w:p>
    <w:p w14:paraId="1434411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Для ведения автоматизированного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бухгалтерского учета и составления отчетности используется программное обеспечение «1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С:Предприятие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». В составе бюджетной отчетности по состоянию на 01.01.2025 года следующие формы предоставлены с нулевыми показателями: </w:t>
      </w:r>
    </w:p>
    <w:p w14:paraId="33B225D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-0503110 G -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расшифровка  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Расшиф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ровка показателей, отраженных в справке по заключению счетов бюджетного учета отчетного финансового года;</w:t>
      </w:r>
    </w:p>
    <w:p w14:paraId="54616C3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120551000 - Справка по консолидируемым расчетам;</w:t>
      </w:r>
    </w:p>
    <w:p w14:paraId="388130A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120551561 - Справка по консолидируемым расчетам;</w:t>
      </w:r>
    </w:p>
    <w:p w14:paraId="4F354D9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0503125 G Код СБУ 120551661 - Справка по консолидируемым расчетам;</w:t>
      </w:r>
    </w:p>
    <w:p w14:paraId="4AEF680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120561000 - Справка по консолидируемым расчетам;</w:t>
      </w:r>
    </w:p>
    <w:p w14:paraId="5D76FF9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120561561 - Справка по консолидируемым расчетам;</w:t>
      </w:r>
    </w:p>
    <w:p w14:paraId="3938AB1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- 0503125 G Код СБУ 120561661 - Справка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консолидируемым расчетам;</w:t>
      </w:r>
    </w:p>
    <w:p w14:paraId="4E08334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- 0503125 G Код СБУ 120651000 - Справка по консолидируемым расчетам;</w:t>
      </w:r>
    </w:p>
    <w:p w14:paraId="2BA4CF5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120651561 - Справка по консолидируемым расчетам;</w:t>
      </w:r>
    </w:p>
    <w:p w14:paraId="6CB20EB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120651661 - Справка по консолидируемым расчетам;</w:t>
      </w:r>
    </w:p>
    <w:p w14:paraId="05EAAC5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120654000 - Справка по консолидируемым расчетам;</w:t>
      </w:r>
    </w:p>
    <w:p w14:paraId="16E1576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120654561 - Справка по консолидируемым расчетам;</w:t>
      </w:r>
    </w:p>
    <w:p w14:paraId="5DE2B1D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120654661 - Справка по консолидируемым расчетам;</w:t>
      </w:r>
    </w:p>
    <w:p w14:paraId="5CCD00A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120711000 - Справка по консолидируемым расчет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ам;</w:t>
      </w:r>
    </w:p>
    <w:p w14:paraId="3FA01E4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120711541 - Справка по консолидируемым расчетам;</w:t>
      </w:r>
    </w:p>
    <w:p w14:paraId="7CB6686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120711641 - Справка по консолидируемым расчетам;</w:t>
      </w:r>
    </w:p>
    <w:p w14:paraId="7CD1073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120721000 - Справка по консолидируемым расчетам;</w:t>
      </w:r>
    </w:p>
    <w:p w14:paraId="7A0FDA3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120721541 - Справка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 консолидируемым расчетам;</w:t>
      </w:r>
    </w:p>
    <w:p w14:paraId="4D338A8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120721641 - Справка по консолидируемым расчетам;</w:t>
      </w:r>
    </w:p>
    <w:p w14:paraId="4D575F4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120731000 - Справка по консолидируемым расчетам;</w:t>
      </w:r>
    </w:p>
    <w:p w14:paraId="2BEFCE2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120731541 - Справка по консолидируемым расчетам;</w:t>
      </w:r>
    </w:p>
    <w:p w14:paraId="29C4D5C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БУ 120731641 - Справка по консолидируемым расчетам;</w:t>
      </w:r>
    </w:p>
    <w:p w14:paraId="7F4A402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130111000 - Справка по консолидируемым расчетам;</w:t>
      </w:r>
    </w:p>
    <w:p w14:paraId="5E8C2AF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130111710 - Справка по консолидируемым расчетам;</w:t>
      </w:r>
    </w:p>
    <w:p w14:paraId="4258A63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130111810 - Справка по консолидируемым расч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етам;</w:t>
      </w:r>
    </w:p>
    <w:p w14:paraId="5DEC473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130121000 - Справка по консолидируемым расчетам;</w:t>
      </w:r>
    </w:p>
    <w:p w14:paraId="4C7509A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130121710 - Справка по консолидируемым расчетам;</w:t>
      </w:r>
    </w:p>
    <w:p w14:paraId="40FF60F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130121810 - Справка по консолидируемым расчетам;</w:t>
      </w:r>
    </w:p>
    <w:p w14:paraId="2037F11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130131000 - Справка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консолидируемым расчетам;</w:t>
      </w:r>
    </w:p>
    <w:p w14:paraId="1D2A02B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130131710 - Справка по консолидируемым расчетам;</w:t>
      </w:r>
    </w:p>
    <w:p w14:paraId="6FB7C34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130131810 - Справка по консолидируемым расчетам;</w:t>
      </w:r>
    </w:p>
    <w:p w14:paraId="77CB8AF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130251000 - Справка по консолидируемым расчетам;</w:t>
      </w:r>
    </w:p>
    <w:p w14:paraId="569E9EC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0503125 G Код СБУ 130251831 - Справка по консолидируемым расчетам;</w:t>
      </w:r>
    </w:p>
    <w:p w14:paraId="1E3D7CE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130254000 - Справка по консолидируемым расчетам;</w:t>
      </w:r>
    </w:p>
    <w:p w14:paraId="37EC75A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130254831 - Справка по консолидируемым расчетам;</w:t>
      </w:r>
    </w:p>
    <w:p w14:paraId="0569ED5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130305000 - Справка по консо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лидируемым расчетам;</w:t>
      </w:r>
    </w:p>
    <w:p w14:paraId="4BC4125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130305731 - Справка по консолидируемым расчетам;</w:t>
      </w:r>
    </w:p>
    <w:p w14:paraId="3C00F36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130305831 - Справка по консолидируемым расчетам;</w:t>
      </w:r>
    </w:p>
    <w:p w14:paraId="0B8718D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130406000 - Справка по консолидируемым расчетам;</w:t>
      </w:r>
    </w:p>
    <w:p w14:paraId="58D139E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10151 - Справка по консолидируемым расчетам;</w:t>
      </w:r>
    </w:p>
    <w:p w14:paraId="6DA6995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140110161 - Справка по консолидируемым расчетам;</w:t>
      </w:r>
    </w:p>
    <w:p w14:paraId="2B56BE8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140120241 - Справка по консолидируемым расчетам;</w:t>
      </w:r>
    </w:p>
    <w:p w14:paraId="39D84C5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140120251 - Справка по консолидируемым расчетам;</w:t>
      </w:r>
    </w:p>
    <w:p w14:paraId="39F54C6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- 0503125 G Код СБУ 140120254 - Справка по консолидируемым расчетам;</w:t>
      </w:r>
    </w:p>
    <w:p w14:paraId="1281822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140120281 - Справка по консолидируемым расчетам;</w:t>
      </w:r>
    </w:p>
    <w:p w14:paraId="0D6B17D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F40110189 - Справка по консолидируемым расчетам;</w:t>
      </w:r>
    </w:p>
    <w:p w14:paraId="607E6EB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M40110189 - Справка по кон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солидируемым расчетам;</w:t>
      </w:r>
    </w:p>
    <w:p w14:paraId="6D6B4E7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F40110191 - Справка по консолидируемым расчетам;</w:t>
      </w:r>
    </w:p>
    <w:p w14:paraId="48AEAE4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M40110191 - Справка по консолидируемым расчетам;</w:t>
      </w:r>
    </w:p>
    <w:p w14:paraId="705FF14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F40110195 - Справка по консолидируемым расчетам;</w:t>
      </w:r>
    </w:p>
    <w:p w14:paraId="2BB7AEF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M4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0110195 - Справка по консолидируемым расчетам;</w:t>
      </w:r>
    </w:p>
    <w:p w14:paraId="40C138B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- 0503125 G Код СБУ 140149151 - Справка по консолидируемым расчетам;</w:t>
      </w:r>
    </w:p>
    <w:p w14:paraId="4FA89FCA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140149161 - Справка по консолидируемым расчетам;</w:t>
      </w:r>
    </w:p>
    <w:p w14:paraId="1306D8C9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- 0503125 G Код СБУ 140141151 - Справка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консолидируемым расчетам;</w:t>
      </w:r>
    </w:p>
    <w:p w14:paraId="08B746A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140141161 - Справка по консолидируемым расчетам;</w:t>
      </w:r>
    </w:p>
    <w:p w14:paraId="7A1F2267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1777B52B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- 0503160 G табл.3 – Сведения об исполнении текстовых статей закона (решения) о бюджете; </w:t>
      </w:r>
    </w:p>
    <w:p w14:paraId="666DEDE3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- 0503160 табл.6 - Сведения о проведении инвентаризаций. В целях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оставления годовой бюджетной отчетности за 2024г. были проведены: инвентаризация нефинансовых активов (Решение о проведении инвентаризации ГИ00-000005 от 20.11.2024г.), инвентаризация финансовых активов (Решение о проведении инвентаризации ГИ00-000006 от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8.12.2024.), доходов и обязательств (Решение о проведении инвентаризации ГИ00-000007 от 28.12.2024г.) . В результате инвентаризаций расхождений не выявлено.;</w:t>
      </w:r>
    </w:p>
    <w:p w14:paraId="224C114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 - 0503160 G табл.15 - Причины увеличения просроченной задолженности; </w:t>
      </w:r>
    </w:p>
    <w:p w14:paraId="5B40B021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 - 0503166G - Сведения об исполнении мероприятий в рамках целевых программ;</w:t>
      </w:r>
    </w:p>
    <w:p w14:paraId="5BB1D72D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- 0503167G - Сведения о целевых иностранных кредитах; </w:t>
      </w:r>
    </w:p>
    <w:p w14:paraId="5098B67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 - 0503171G - Сведения о финансовых вложениях пол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учателя средств бюджета; </w:t>
      </w:r>
    </w:p>
    <w:p w14:paraId="0D9D846C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- 0503172G - Сведения о государственном (муниципальном) долге; </w:t>
      </w:r>
    </w:p>
    <w:p w14:paraId="6EEDE0BF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 - 0503173G СВ - Сведения об изменении остатков валюты баланса (средства во временном распоряжении);</w:t>
      </w:r>
    </w:p>
    <w:p w14:paraId="36D40476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- 0503174G - Сведения о доходах бюджета от перечисления части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прибыли (дивидендов) государственных (муниципальных) унитарных предприятий, иных организаций с государственным участием в капитале;</w:t>
      </w:r>
    </w:p>
    <w:p w14:paraId="7EBBED1E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- 0503178G Б - Сведения об остатках денежных средств на счетах получателя бюджетных средства (бюджетная);</w:t>
      </w:r>
    </w:p>
    <w:p w14:paraId="0A84985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- 0503178G СВ 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об остатках денежных средств на счетах получателя бюджетных средства (средства во временном распоряжении);</w:t>
      </w:r>
    </w:p>
    <w:p w14:paraId="1BD48EE2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- 0503190G - Сведения о вложениях в объекты недвижимого имущества, объектах незавершенного строительства участием в капитале;</w:t>
      </w:r>
    </w:p>
    <w:p w14:paraId="447A28B4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- 0503230 G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Разделительный ликвидационный баланс главного распорядителя (распорядителя), получателя средств бюджета;</w:t>
      </w:r>
    </w:p>
    <w:p w14:paraId="1D78488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- 0503296 - Сведения об исполнении судебных решений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денежным  обязательствам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14:paraId="2A82187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 связи с отсутствием показателей Инспекцией не представлены следующ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ие формы бюджетной бухгалтерской отчетности по состоянию на 01.01.2025 года:</w:t>
      </w:r>
    </w:p>
    <w:p w14:paraId="5BF05488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- 0503125 G Код СБУ 120661000 - Справка по консолидируемым расчетам;</w:t>
      </w:r>
    </w:p>
    <w:p w14:paraId="2DE7C910" w14:textId="77777777" w:rsidR="009802DF" w:rsidRDefault="0010274A">
      <w:pPr>
        <w:ind w:firstLine="720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- 0503184 G - Справка о суммах консолидируемых поступлений, подлежащих зачислению на счет бюджета.</w:t>
      </w:r>
    </w:p>
    <w:p w14:paraId="3019349E" w14:textId="77777777" w:rsidR="009802DF" w:rsidRDefault="0010274A">
      <w:pPr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 </w:t>
      </w:r>
    </w:p>
    <w:p w14:paraId="52046804" w14:textId="77777777" w:rsidR="009802DF" w:rsidRDefault="0010274A">
      <w:r>
        <w:t> </w:t>
      </w:r>
    </w:p>
    <w:p w14:paraId="0E173A65" w14:textId="77777777" w:rsidR="009802DF" w:rsidRDefault="0010274A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9380" w:type="dxa"/>
        <w:tblInd w:w="96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0"/>
        <w:gridCol w:w="4716"/>
        <w:gridCol w:w="1535"/>
      </w:tblGrid>
      <w:tr w:rsidR="009802DF" w14:paraId="417CCB80" w14:textId="77777777"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27FF79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ководитель</w:t>
            </w: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808313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3AA784BD" wp14:editId="479C1C4E">
                  <wp:extent cx="2857500" cy="9525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3139A1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Дашибалов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Баясхалан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 Александрович</w:t>
            </w:r>
          </w:p>
        </w:tc>
      </w:tr>
      <w:tr w:rsidR="009802DF" w14:paraId="75B8A0F6" w14:textId="77777777">
        <w:trPr>
          <w:trHeight w:val="280"/>
        </w:trPr>
        <w:tc>
          <w:tcPr>
            <w:tcW w:w="3570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B97CAA2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45A096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2E7E86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9802DF" w14:paraId="7B9184E8" w14:textId="77777777">
        <w:trPr>
          <w:trHeight w:val="281"/>
        </w:trPr>
        <w:tc>
          <w:tcPr>
            <w:tcW w:w="0" w:type="auto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03E5BE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802DF" w14:paraId="0D1AA84B" w14:textId="77777777">
        <w:trPr>
          <w:trHeight w:val="281"/>
        </w:trPr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A4C526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Руководитель планово-</w:t>
            </w: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2C08DE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4AF6A76A" wp14:editId="7381677E">
                  <wp:extent cx="2857500" cy="9525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5CD9C2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5BBABB95" w14:textId="77777777">
        <w:trPr>
          <w:trHeight w:val="281"/>
        </w:trPr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B6FD4B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экономической службы</w:t>
            </w: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1FFAFD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ECA675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9802DF" w14:paraId="16840592" w14:textId="77777777">
        <w:trPr>
          <w:trHeight w:val="281"/>
        </w:trPr>
        <w:tc>
          <w:tcPr>
            <w:tcW w:w="0" w:type="auto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BB1E3E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2C365802" w14:textId="77777777">
        <w:trPr>
          <w:trHeight w:val="281"/>
        </w:trPr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D66BBB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Главный</w:t>
            </w: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EFDFE3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noProof/>
              </w:rPr>
              <w:drawing>
                <wp:inline distT="0" distB="0" distL="0" distR="0" wp14:anchorId="466C52BF" wp14:editId="44AF3A89">
                  <wp:extent cx="2857500" cy="9525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6D0A72" w14:textId="77777777" w:rsidR="009802DF" w:rsidRDefault="009802DF">
            <w:pPr>
              <w:rPr>
                <w:sz w:val="24"/>
              </w:rPr>
            </w:pPr>
          </w:p>
        </w:tc>
      </w:tr>
      <w:tr w:rsidR="009802DF" w14:paraId="04604A4A" w14:textId="77777777">
        <w:trPr>
          <w:trHeight w:val="281"/>
        </w:trPr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DB1F18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бухгалтер</w:t>
            </w:r>
          </w:p>
        </w:tc>
        <w:tc>
          <w:tcPr>
            <w:tcW w:w="20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44A872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FEF741" w14:textId="77777777" w:rsidR="009802DF" w:rsidRDefault="0010274A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  <w:tr w:rsidR="009802DF" w14:paraId="0A28982F" w14:textId="77777777">
        <w:trPr>
          <w:trHeight w:val="449"/>
        </w:trPr>
        <w:tc>
          <w:tcPr>
            <w:tcW w:w="3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0EABE8" w14:textId="77777777" w:rsidR="009802DF" w:rsidRDefault="0010274A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"____"   ____________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20____г.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E5D7DF" w14:textId="77777777" w:rsidR="009802DF" w:rsidRDefault="009802DF">
            <w:pPr>
              <w:rPr>
                <w:sz w:val="24"/>
              </w:rPr>
            </w:pP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9751C4" w14:textId="77777777" w:rsidR="009802DF" w:rsidRDefault="009802DF">
            <w:pPr>
              <w:rPr>
                <w:sz w:val="24"/>
              </w:rPr>
            </w:pPr>
          </w:p>
        </w:tc>
      </w:tr>
    </w:tbl>
    <w:p w14:paraId="5262FD98" w14:textId="77777777" w:rsidR="009802DF" w:rsidRDefault="0010274A">
      <w:r>
        <w:rPr>
          <w:rFonts w:ascii="Times New Roman" w:eastAsia="Times New Roman" w:hAnsi="Times New Roman" w:cs="Times New Roman"/>
          <w:sz w:val="24"/>
          <w:szCs w:val="24"/>
        </w:rPr>
        <w:t>Документ подписан электронной подписью. Дата представления 05.02.2025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Руководитель финансово-экономической службы(МАРКЕЛОВА АНАСТАСИЯ АНАТОЛЬЕВНА, Сертификат: 53C95B8F99A365279A28FC5B748644B2, Действителен: с 18.09.2024 по 12.12.2025),Главный 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ухгалтер(МАРКЕЛОВА АНАСТАСИЯ АНАТОЛЬЕВНА, Сертификат: 53C95B8F99A365279A28FC5B748644B2, Действителен: с 18.09.2024 по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12.12.2025),Руководитель централизованной бухгалтерии(Черепанова Ольга Николаевна, Сертификат: 00C86FBD04DA40E86643DB741CC4D20997, Действи</w:t>
      </w:r>
      <w:r>
        <w:rPr>
          <w:rFonts w:ascii="Times New Roman" w:eastAsia="Times New Roman" w:hAnsi="Times New Roman" w:cs="Times New Roman"/>
          <w:sz w:val="24"/>
          <w:szCs w:val="24"/>
        </w:rPr>
        <w:t>телен: с 19.06.2024 по 12.09.2025),Руководитель(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Дашибалов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Баясхалан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Александрович, Сертификат: 00DC0AC25CD10B61D8FF730D523E6CDDD1, Действителен: с 29.03.2024 по 22.06.2025)        </w:t>
      </w:r>
    </w:p>
    <w:sectPr w:rsidR="009802DF">
      <w:pgSz w:w="15840" w:h="12240" w:orient="landscape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2DF"/>
    <w:rsid w:val="0010274A"/>
    <w:rsid w:val="0089039D"/>
    <w:rsid w:val="00980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02C18"/>
  <w15:docId w15:val="{7D062428-F2FB-4224-95F5-A0F08675F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rPr>
      <w:color w:val="0000FF"/>
      <w:u w:val="single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7EAADF"/>
      </a:accent1>
      <a:accent2>
        <a:srgbClr val="EA726F"/>
      </a:accent2>
      <a:accent3>
        <a:srgbClr val="A9D774"/>
      </a:accent3>
      <a:accent4>
        <a:srgbClr val="A78BC9"/>
      </a:accent4>
      <a:accent5>
        <a:srgbClr val="78CBE1"/>
      </a:accent5>
      <a:accent6>
        <a:srgbClr val="FCBF8C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5152</Words>
  <Characters>29367</Characters>
  <Application>Microsoft Office Word</Application>
  <DocSecurity>0</DocSecurity>
  <Lines>244</Lines>
  <Paragraphs>68</Paragraphs>
  <ScaleCrop>false</ScaleCrop>
  <Company/>
  <LinksUpToDate>false</LinksUpToDate>
  <CharactersWithSpaces>34451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О.Н.Черепанова</dc:creator>
  <cp:lastModifiedBy>О.Н.Черепанова</cp:lastModifiedBy>
  <cp:revision>2</cp:revision>
  <dcterms:created xsi:type="dcterms:W3CDTF">2025-03-17T00:00:00Z</dcterms:created>
  <dcterms:modified xsi:type="dcterms:W3CDTF">2025-03-17T00:00:00Z</dcterms:modified>
</cp:coreProperties>
</file>