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BE0FC5" w:rsidRDefault="00BE0FC5" w:rsidP="005827C8">
      <w:pPr>
        <w:jc w:val="center"/>
        <w:rPr>
          <w:sz w:val="28"/>
          <w:szCs w:val="28"/>
        </w:rPr>
      </w:pPr>
      <w:r w:rsidRPr="00BE0FC5">
        <w:rPr>
          <w:bCs/>
          <w:sz w:val="28"/>
          <w:szCs w:val="28"/>
        </w:rPr>
        <w:t>Сведения об итогах реализации прогр</w:t>
      </w:r>
      <w:r>
        <w:rPr>
          <w:bCs/>
          <w:sz w:val="28"/>
          <w:szCs w:val="28"/>
        </w:rPr>
        <w:t>а</w:t>
      </w:r>
      <w:r w:rsidRPr="00BE0FC5">
        <w:rPr>
          <w:bCs/>
          <w:sz w:val="28"/>
          <w:szCs w:val="28"/>
        </w:rPr>
        <w:t>ммы</w:t>
      </w:r>
    </w:p>
    <w:p w:rsidR="0037063D" w:rsidRDefault="006D286E" w:rsidP="00E43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Default="006D286E" w:rsidP="00C16A27">
      <w:pPr>
        <w:jc w:val="center"/>
        <w:rPr>
          <w:b/>
          <w:sz w:val="28"/>
          <w:szCs w:val="28"/>
        </w:rPr>
      </w:pPr>
      <w:r w:rsidRPr="0037063D">
        <w:rPr>
          <w:b/>
          <w:sz w:val="28"/>
          <w:szCs w:val="28"/>
        </w:rPr>
        <w:t xml:space="preserve">в сфере </w:t>
      </w:r>
      <w:r w:rsidR="00556DA8">
        <w:rPr>
          <w:b/>
          <w:sz w:val="28"/>
          <w:szCs w:val="28"/>
        </w:rPr>
        <w:t xml:space="preserve">регионального </w:t>
      </w:r>
      <w:r w:rsidRPr="0037063D">
        <w:rPr>
          <w:b/>
          <w:sz w:val="28"/>
          <w:szCs w:val="28"/>
        </w:rPr>
        <w:t>государственного</w:t>
      </w:r>
      <w:r w:rsidR="00556DA8">
        <w:rPr>
          <w:b/>
          <w:sz w:val="28"/>
          <w:szCs w:val="28"/>
        </w:rPr>
        <w:t xml:space="preserve"> жилищного</w:t>
      </w:r>
      <w:r w:rsidRPr="0037063D">
        <w:rPr>
          <w:b/>
          <w:sz w:val="28"/>
          <w:szCs w:val="28"/>
        </w:rPr>
        <w:t xml:space="preserve"> надзора</w:t>
      </w:r>
      <w:r w:rsidR="00E6038A">
        <w:rPr>
          <w:b/>
          <w:sz w:val="28"/>
          <w:szCs w:val="28"/>
        </w:rPr>
        <w:t xml:space="preserve"> и лицензионного контроля</w:t>
      </w:r>
      <w:r w:rsidRPr="0037063D">
        <w:rPr>
          <w:b/>
          <w:sz w:val="28"/>
          <w:szCs w:val="28"/>
        </w:rPr>
        <w:t xml:space="preserve"> </w:t>
      </w:r>
    </w:p>
    <w:p w:rsidR="00C16A27" w:rsidRPr="00C16A27" w:rsidRDefault="008D6365" w:rsidP="00C16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6A27">
        <w:rPr>
          <w:b/>
          <w:sz w:val="28"/>
          <w:szCs w:val="28"/>
        </w:rPr>
        <w:t>о</w:t>
      </w:r>
      <w:r w:rsidR="00C16A27" w:rsidRPr="00C16A27">
        <w:rPr>
          <w:b/>
          <w:sz w:val="28"/>
          <w:szCs w:val="28"/>
        </w:rPr>
        <w:t>тдел контроля обоснованности платежей за жилищно-коммунальные услуги</w:t>
      </w:r>
      <w:r>
        <w:rPr>
          <w:b/>
          <w:sz w:val="28"/>
          <w:szCs w:val="28"/>
        </w:rPr>
        <w:t>)</w:t>
      </w:r>
    </w:p>
    <w:p w:rsidR="006D286E" w:rsidRPr="0037063D" w:rsidRDefault="002C5834" w:rsidP="00E43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84448C">
        <w:rPr>
          <w:b/>
          <w:sz w:val="28"/>
          <w:szCs w:val="28"/>
        </w:rPr>
        <w:t>1</w:t>
      </w:r>
      <w:r w:rsidR="001A4AC6">
        <w:rPr>
          <w:b/>
          <w:sz w:val="28"/>
          <w:szCs w:val="28"/>
        </w:rPr>
        <w:t xml:space="preserve"> квартала 202</w:t>
      </w:r>
      <w:r w:rsidR="0084448C">
        <w:rPr>
          <w:b/>
          <w:sz w:val="28"/>
          <w:szCs w:val="28"/>
        </w:rPr>
        <w:t>1</w:t>
      </w:r>
      <w:r w:rsidR="001A4AC6">
        <w:rPr>
          <w:b/>
          <w:sz w:val="28"/>
          <w:szCs w:val="28"/>
        </w:rPr>
        <w:t xml:space="preserve"> </w:t>
      </w:r>
      <w:r w:rsidR="006D286E" w:rsidRPr="0037063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6D286E" w:rsidRDefault="006D286E" w:rsidP="005827C8">
      <w:pPr>
        <w:jc w:val="center"/>
        <w:rPr>
          <w:sz w:val="28"/>
          <w:szCs w:val="28"/>
        </w:rPr>
      </w:pPr>
    </w:p>
    <w:tbl>
      <w:tblPr>
        <w:tblW w:w="155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2715"/>
        <w:gridCol w:w="4514"/>
      </w:tblGrid>
      <w:tr w:rsidR="00C97477" w:rsidRPr="005D0150" w:rsidTr="005D0150">
        <w:tc>
          <w:tcPr>
            <w:tcW w:w="5011" w:type="dxa"/>
            <w:vAlign w:val="center"/>
          </w:tcPr>
          <w:p w:rsidR="00BE0FC5" w:rsidRPr="005D0150" w:rsidRDefault="00BE0FC5" w:rsidP="007F756F">
            <w:pPr>
              <w:jc w:val="center"/>
              <w:rPr>
                <w:b/>
              </w:rPr>
            </w:pPr>
            <w:r w:rsidRPr="005D015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BE0FC5" w:rsidRPr="005D0150" w:rsidRDefault="00BE0FC5" w:rsidP="007F756F">
            <w:pPr>
              <w:jc w:val="center"/>
              <w:rPr>
                <w:b/>
              </w:rPr>
            </w:pPr>
            <w:r w:rsidRPr="005D0150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715" w:type="dxa"/>
            <w:vAlign w:val="center"/>
          </w:tcPr>
          <w:p w:rsidR="00BE0FC5" w:rsidRPr="005D0150" w:rsidRDefault="00BE0FC5" w:rsidP="007F756F">
            <w:pPr>
              <w:jc w:val="center"/>
              <w:rPr>
                <w:b/>
              </w:rPr>
            </w:pPr>
            <w:r w:rsidRPr="005D0150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4514" w:type="dxa"/>
            <w:vAlign w:val="center"/>
          </w:tcPr>
          <w:p w:rsidR="00BE0FC5" w:rsidRPr="005D0150" w:rsidRDefault="00BE0FC5" w:rsidP="007F756F">
            <w:pPr>
              <w:jc w:val="center"/>
              <w:rPr>
                <w:b/>
              </w:rPr>
            </w:pPr>
            <w:r w:rsidRPr="005D0150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C97477" w:rsidRPr="005D0150" w:rsidTr="00AD7F89">
        <w:trPr>
          <w:trHeight w:val="2619"/>
        </w:trPr>
        <w:tc>
          <w:tcPr>
            <w:tcW w:w="5011" w:type="dxa"/>
            <w:vAlign w:val="center"/>
          </w:tcPr>
          <w:p w:rsidR="00BE0FC5" w:rsidRPr="00447C19" w:rsidRDefault="00C16A27" w:rsidP="008D6365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</w:t>
            </w:r>
            <w:r w:rsidR="00627713">
              <w:t xml:space="preserve"> перечня </w:t>
            </w:r>
            <w:r w:rsidR="008D6365">
              <w:t>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324" w:type="dxa"/>
            <w:vAlign w:val="center"/>
          </w:tcPr>
          <w:p w:rsidR="00BE0FC5" w:rsidRPr="00447C19" w:rsidRDefault="00BE0FC5" w:rsidP="00C16A27">
            <w:pPr>
              <w:jc w:val="center"/>
            </w:pPr>
            <w:r w:rsidRPr="00447C19">
              <w:rPr>
                <w:sz w:val="22"/>
                <w:szCs w:val="22"/>
              </w:rPr>
              <w:t>Поддержание перечня</w:t>
            </w:r>
            <w:r w:rsidR="00C16A27">
              <w:t xml:space="preserve"> и текстов нормативных правовых актов</w:t>
            </w:r>
            <w:r w:rsidRPr="00447C19">
              <w:rPr>
                <w:sz w:val="22"/>
                <w:szCs w:val="22"/>
              </w:rPr>
              <w:t xml:space="preserve"> в актуальном состоянии</w:t>
            </w:r>
            <w:r w:rsidR="00C16A27">
              <w:rPr>
                <w:sz w:val="22"/>
                <w:szCs w:val="22"/>
              </w:rPr>
              <w:t xml:space="preserve"> для информирования граждан и поднадзорных субъектов</w:t>
            </w:r>
          </w:p>
        </w:tc>
        <w:tc>
          <w:tcPr>
            <w:tcW w:w="2715" w:type="dxa"/>
            <w:vAlign w:val="center"/>
          </w:tcPr>
          <w:p w:rsidR="00BE0FC5" w:rsidRPr="00447C19" w:rsidRDefault="00BE0FC5" w:rsidP="007F756F">
            <w:pPr>
              <w:jc w:val="center"/>
            </w:pPr>
            <w:r w:rsidRPr="00447C19">
              <w:rPr>
                <w:sz w:val="22"/>
                <w:szCs w:val="22"/>
              </w:rPr>
              <w:t>Ежемесячно</w:t>
            </w:r>
          </w:p>
        </w:tc>
        <w:tc>
          <w:tcPr>
            <w:tcW w:w="4514" w:type="dxa"/>
            <w:vAlign w:val="center"/>
          </w:tcPr>
          <w:p w:rsidR="00E97639" w:rsidRDefault="0046678F" w:rsidP="007F756F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E0FC5" w:rsidRPr="005D0150">
              <w:rPr>
                <w:sz w:val="22"/>
                <w:szCs w:val="22"/>
              </w:rPr>
              <w:t xml:space="preserve">ониторинг перечня нормативных правовых актов, содержащих обязательные требования, оценка соблюдения которых является предметом </w:t>
            </w:r>
            <w:r w:rsidR="00C16A27">
              <w:rPr>
                <w:sz w:val="22"/>
                <w:szCs w:val="22"/>
              </w:rPr>
              <w:t xml:space="preserve">регионального </w:t>
            </w:r>
            <w:r w:rsidR="00BE0FC5" w:rsidRPr="005D0150">
              <w:rPr>
                <w:sz w:val="22"/>
                <w:szCs w:val="22"/>
              </w:rPr>
              <w:t xml:space="preserve">государственного </w:t>
            </w:r>
            <w:r w:rsidR="00C16A27">
              <w:rPr>
                <w:sz w:val="22"/>
                <w:szCs w:val="22"/>
              </w:rPr>
              <w:t xml:space="preserve">жилищного </w:t>
            </w:r>
            <w:r w:rsidR="00BE0FC5" w:rsidRPr="005D0150">
              <w:rPr>
                <w:sz w:val="22"/>
                <w:szCs w:val="22"/>
              </w:rPr>
              <w:t>надзора</w:t>
            </w:r>
            <w:r w:rsidR="00C16A27">
              <w:rPr>
                <w:sz w:val="22"/>
                <w:szCs w:val="22"/>
              </w:rPr>
              <w:t xml:space="preserve"> </w:t>
            </w:r>
          </w:p>
          <w:p w:rsidR="00BE0FC5" w:rsidRPr="005D0150" w:rsidRDefault="0046678F" w:rsidP="0046678F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BE0FC5" w:rsidRPr="005D0150">
              <w:rPr>
                <w:sz w:val="22"/>
                <w:szCs w:val="22"/>
              </w:rPr>
              <w:t>еречень актуализир</w:t>
            </w:r>
            <w:r>
              <w:rPr>
                <w:sz w:val="22"/>
                <w:szCs w:val="22"/>
              </w:rPr>
              <w:t>ован</w:t>
            </w:r>
            <w:r w:rsidR="00BE0FC5" w:rsidRPr="005D0150">
              <w:rPr>
                <w:sz w:val="22"/>
                <w:szCs w:val="22"/>
              </w:rPr>
              <w:t>.</w:t>
            </w:r>
          </w:p>
        </w:tc>
      </w:tr>
      <w:tr w:rsidR="00C97477" w:rsidRPr="005D0150" w:rsidTr="005D0150">
        <w:tc>
          <w:tcPr>
            <w:tcW w:w="5011" w:type="dxa"/>
            <w:vAlign w:val="center"/>
          </w:tcPr>
          <w:p w:rsidR="00E92616" w:rsidRPr="00E92616" w:rsidRDefault="009F71AE" w:rsidP="00E9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92616" w:rsidRPr="00E92616">
              <w:rPr>
                <w:sz w:val="22"/>
                <w:szCs w:val="22"/>
              </w:rPr>
              <w:t>ведени</w:t>
            </w:r>
            <w:r>
              <w:rPr>
                <w:sz w:val="22"/>
                <w:szCs w:val="22"/>
              </w:rPr>
              <w:t>я</w:t>
            </w:r>
            <w:r w:rsidR="00E92616" w:rsidRPr="00E92616">
              <w:rPr>
                <w:sz w:val="22"/>
                <w:szCs w:val="22"/>
              </w:rPr>
              <w:t xml:space="preserve"> о результатах плановых и </w:t>
            </w:r>
          </w:p>
          <w:p w:rsidR="00B25EAC" w:rsidRPr="00447C19" w:rsidRDefault="00E92616" w:rsidP="00E92616">
            <w:pPr>
              <w:jc w:val="center"/>
            </w:pPr>
            <w:r w:rsidRPr="00E92616">
              <w:rPr>
                <w:sz w:val="22"/>
                <w:szCs w:val="22"/>
              </w:rPr>
              <w:t>внеплановых проверок</w:t>
            </w:r>
          </w:p>
        </w:tc>
        <w:tc>
          <w:tcPr>
            <w:tcW w:w="3324" w:type="dxa"/>
            <w:vAlign w:val="center"/>
          </w:tcPr>
          <w:p w:rsidR="00B25EAC" w:rsidRPr="00447C19" w:rsidRDefault="00B25EAC" w:rsidP="00E92616">
            <w:pPr>
              <w:jc w:val="center"/>
            </w:pPr>
            <w:r w:rsidRPr="00447C19"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715" w:type="dxa"/>
            <w:vAlign w:val="center"/>
          </w:tcPr>
          <w:p w:rsidR="00B25EAC" w:rsidRPr="00447C19" w:rsidRDefault="00E92616" w:rsidP="007F756F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0151A3" w:rsidRPr="009F71AE" w:rsidRDefault="000151A3" w:rsidP="00D36FBA">
            <w:pPr>
              <w:jc w:val="center"/>
              <w:rPr>
                <w:sz w:val="22"/>
                <w:szCs w:val="22"/>
              </w:rPr>
            </w:pPr>
            <w:r w:rsidRPr="009F71AE">
              <w:rPr>
                <w:sz w:val="22"/>
                <w:szCs w:val="22"/>
              </w:rPr>
              <w:t>Плановые проверки не проводились.</w:t>
            </w:r>
          </w:p>
          <w:p w:rsidR="009332A9" w:rsidRPr="009F71AE" w:rsidRDefault="000151A3" w:rsidP="00CB65CE">
            <w:pPr>
              <w:jc w:val="center"/>
              <w:rPr>
                <w:sz w:val="22"/>
                <w:szCs w:val="22"/>
              </w:rPr>
            </w:pPr>
            <w:r w:rsidRPr="009F71AE">
              <w:rPr>
                <w:sz w:val="22"/>
                <w:szCs w:val="22"/>
              </w:rPr>
              <w:t xml:space="preserve">За первый квартал 2021 года поступило </w:t>
            </w:r>
            <w:r w:rsidR="009F71AE" w:rsidRPr="009F71AE">
              <w:rPr>
                <w:sz w:val="22"/>
                <w:szCs w:val="22"/>
              </w:rPr>
              <w:t>772</w:t>
            </w:r>
            <w:r w:rsidRPr="009F71AE">
              <w:rPr>
                <w:sz w:val="22"/>
                <w:szCs w:val="22"/>
              </w:rPr>
              <w:t xml:space="preserve"> обращени</w:t>
            </w:r>
            <w:r w:rsidR="009F71AE" w:rsidRPr="009F71AE">
              <w:rPr>
                <w:sz w:val="22"/>
                <w:szCs w:val="22"/>
              </w:rPr>
              <w:t>я</w:t>
            </w:r>
            <w:r w:rsidRPr="009F71AE">
              <w:rPr>
                <w:sz w:val="22"/>
                <w:szCs w:val="22"/>
              </w:rPr>
              <w:t xml:space="preserve"> граждан, </w:t>
            </w:r>
            <w:r w:rsidR="009F71AE" w:rsidRPr="009F71AE">
              <w:rPr>
                <w:sz w:val="22"/>
                <w:szCs w:val="22"/>
              </w:rPr>
              <w:t xml:space="preserve">проведено 331 контрольное мероприятие, составлено 13 протоколов об административных правонарушениях, предусмотренных ч.2 ст. 14.1.3 КоАП РФ, ч. 2. ст. 13.19.2 КоАП РФ, ч.2 ст. 7.23.3 КоАП РФ, выдано </w:t>
            </w:r>
            <w:r w:rsidR="00CB65CE">
              <w:rPr>
                <w:sz w:val="22"/>
                <w:szCs w:val="22"/>
              </w:rPr>
              <w:t>9</w:t>
            </w:r>
            <w:r w:rsidR="009F71AE" w:rsidRPr="009F71AE">
              <w:rPr>
                <w:sz w:val="22"/>
                <w:szCs w:val="22"/>
              </w:rPr>
              <w:t xml:space="preserve"> предписани</w:t>
            </w:r>
            <w:r w:rsidR="00CB65CE">
              <w:rPr>
                <w:sz w:val="22"/>
                <w:szCs w:val="22"/>
              </w:rPr>
              <w:t>й</w:t>
            </w:r>
            <w:bookmarkStart w:id="0" w:name="_GoBack"/>
            <w:bookmarkEnd w:id="0"/>
            <w:r w:rsidR="009F71AE" w:rsidRPr="009F71AE">
              <w:rPr>
                <w:sz w:val="22"/>
                <w:szCs w:val="22"/>
              </w:rPr>
              <w:t>.</w:t>
            </w:r>
          </w:p>
        </w:tc>
      </w:tr>
      <w:tr w:rsidR="00C97477" w:rsidRPr="005D0150" w:rsidTr="00862567">
        <w:tc>
          <w:tcPr>
            <w:tcW w:w="5011" w:type="dxa"/>
            <w:vAlign w:val="center"/>
          </w:tcPr>
          <w:p w:rsidR="00BE0FC5" w:rsidRPr="00447C19" w:rsidRDefault="009F71AE" w:rsidP="009F71AE">
            <w:pPr>
              <w:jc w:val="center"/>
            </w:pPr>
            <w:r>
              <w:t>С</w:t>
            </w:r>
            <w:r w:rsidR="009332A9">
              <w:t>ведени</w:t>
            </w:r>
            <w:r>
              <w:t>я</w:t>
            </w:r>
            <w:r w:rsidR="009332A9">
              <w:t xml:space="preserve"> об обращениях (жалобах), поступивших в Инспекцию в разрезе тематик</w:t>
            </w:r>
          </w:p>
        </w:tc>
        <w:tc>
          <w:tcPr>
            <w:tcW w:w="3324" w:type="dxa"/>
            <w:vAlign w:val="center"/>
          </w:tcPr>
          <w:p w:rsidR="00BE0FC5" w:rsidRPr="00447C19" w:rsidRDefault="00BE0FC5" w:rsidP="007F756F">
            <w:pPr>
              <w:jc w:val="center"/>
            </w:pPr>
            <w:r w:rsidRPr="009F71AE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BE0FC5" w:rsidRPr="00447C19" w:rsidRDefault="009332A9" w:rsidP="007F756F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1A4AC6" w:rsidRPr="00862567" w:rsidRDefault="00EB302D" w:rsidP="00D8436B">
            <w:pPr>
              <w:jc w:val="center"/>
            </w:pPr>
            <w:r>
              <w:t xml:space="preserve">Начисление размера платы за коммунальные услуги; необоснованное начисление размера платы за жилищно-коммунальные услуги, </w:t>
            </w:r>
            <w:r w:rsidR="00D8436B">
              <w:t xml:space="preserve">осуществление </w:t>
            </w:r>
            <w:r>
              <w:t>аварийно-диспетчерск</w:t>
            </w:r>
            <w:r w:rsidR="00D8436B">
              <w:t>ого</w:t>
            </w:r>
            <w:r>
              <w:t xml:space="preserve"> </w:t>
            </w:r>
            <w:r w:rsidR="00D8436B">
              <w:t>обслуживания</w:t>
            </w:r>
            <w:r>
              <w:t xml:space="preserve"> управляющи</w:t>
            </w:r>
            <w:r w:rsidR="00D8436B">
              <w:t>ми</w:t>
            </w:r>
            <w:r>
              <w:t xml:space="preserve"> и </w:t>
            </w:r>
            <w:proofErr w:type="spellStart"/>
            <w:r>
              <w:t>ресурсрснабжающи</w:t>
            </w:r>
            <w:r w:rsidR="00D8436B">
              <w:t>ми</w:t>
            </w:r>
            <w:proofErr w:type="spellEnd"/>
            <w:r>
              <w:t xml:space="preserve"> организаци</w:t>
            </w:r>
            <w:r w:rsidR="00D8436B">
              <w:t>ями</w:t>
            </w:r>
            <w:r>
              <w:t xml:space="preserve">, раскрытие информации, некачественное предоставление коммунальных услуг и (или) </w:t>
            </w:r>
            <w:proofErr w:type="gramStart"/>
            <w:r>
              <w:t>с перерывами</w:t>
            </w:r>
            <w:proofErr w:type="gramEnd"/>
            <w:r>
              <w:t xml:space="preserve"> превышающими установленную продолжительность; </w:t>
            </w:r>
            <w:r w:rsidR="00D8436B">
              <w:t>ограничение, приостановление коммунальных услуг</w:t>
            </w:r>
          </w:p>
        </w:tc>
      </w:tr>
      <w:tr w:rsidR="00C97477" w:rsidRPr="005D0150" w:rsidTr="00862567">
        <w:tc>
          <w:tcPr>
            <w:tcW w:w="5011" w:type="dxa"/>
            <w:vAlign w:val="center"/>
          </w:tcPr>
          <w:p w:rsidR="007E7114" w:rsidRDefault="007E7114" w:rsidP="007E7114">
            <w:pPr>
              <w:jc w:val="center"/>
            </w:pPr>
            <w:r>
              <w:lastRenderedPageBreak/>
              <w:t>Сведения о наиболее часто встречающихся</w:t>
            </w:r>
          </w:p>
          <w:p w:rsidR="00BE0FC5" w:rsidRPr="00447C19" w:rsidRDefault="007E7114" w:rsidP="007E7114">
            <w:pPr>
              <w:jc w:val="center"/>
            </w:pPr>
            <w:r>
              <w:t>правонарушениях обязательных требований</w:t>
            </w:r>
          </w:p>
        </w:tc>
        <w:tc>
          <w:tcPr>
            <w:tcW w:w="3324" w:type="dxa"/>
            <w:vAlign w:val="center"/>
          </w:tcPr>
          <w:p w:rsidR="00BE0FC5" w:rsidRPr="00447C19" w:rsidRDefault="009332A9" w:rsidP="009332A9">
            <w:pPr>
              <w:jc w:val="center"/>
            </w:pPr>
            <w:r w:rsidRPr="009332A9"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BE0FC5" w:rsidRPr="00447C19" w:rsidRDefault="009332A9" w:rsidP="007F756F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447C19" w:rsidRDefault="007E7114" w:rsidP="00C97477">
            <w:pPr>
              <w:pStyle w:val="2"/>
              <w:shd w:val="clear" w:color="auto" w:fill="FFFFFF"/>
              <w:spacing w:before="0" w:beforeAutospacing="0" w:after="255" w:afterAutospacing="0" w:line="300" w:lineRule="atLeast"/>
              <w:jc w:val="both"/>
              <w:rPr>
                <w:b w:val="0"/>
                <w:bCs w:val="0"/>
                <w:sz w:val="22"/>
                <w:szCs w:val="22"/>
              </w:rPr>
            </w:pPr>
            <w:r w:rsidRPr="007E7114">
              <w:rPr>
                <w:b w:val="0"/>
                <w:bCs w:val="0"/>
                <w:sz w:val="22"/>
                <w:szCs w:val="22"/>
              </w:rPr>
              <w:t xml:space="preserve">Нарушения управляющими и </w:t>
            </w:r>
            <w:proofErr w:type="spellStart"/>
            <w:r w:rsidRPr="007E7114">
              <w:rPr>
                <w:b w:val="0"/>
                <w:bCs w:val="0"/>
                <w:sz w:val="22"/>
                <w:szCs w:val="22"/>
              </w:rPr>
              <w:t>ресурсоснабжающими</w:t>
            </w:r>
            <w:proofErr w:type="spellEnd"/>
            <w:r w:rsidRPr="007E7114">
              <w:rPr>
                <w:b w:val="0"/>
                <w:bCs w:val="0"/>
                <w:sz w:val="22"/>
                <w:szCs w:val="22"/>
              </w:rPr>
              <w:t xml:space="preserve"> организациями сведений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Pr="007E7114">
              <w:rPr>
                <w:b w:val="0"/>
                <w:bCs w:val="0"/>
                <w:sz w:val="22"/>
                <w:szCs w:val="22"/>
              </w:rPr>
              <w:t xml:space="preserve"> предусмотренных Приказ</w:t>
            </w:r>
            <w:r>
              <w:rPr>
                <w:b w:val="0"/>
                <w:bCs w:val="0"/>
                <w:sz w:val="22"/>
                <w:szCs w:val="22"/>
              </w:rPr>
              <w:t>ом</w:t>
            </w:r>
            <w:r w:rsidRPr="007E7114">
              <w:rPr>
                <w:b w:val="0"/>
                <w:bCs w:val="0"/>
                <w:sz w:val="22"/>
                <w:szCs w:val="22"/>
              </w:rPr>
              <w:t xml:space="preserve"> Министерства связи и массовых коммуникаций РФ и Министерства строительства и жилищно-к</w:t>
            </w:r>
            <w:r>
              <w:rPr>
                <w:b w:val="0"/>
                <w:bCs w:val="0"/>
                <w:sz w:val="22"/>
                <w:szCs w:val="22"/>
              </w:rPr>
              <w:t>оммунального хозяйства РФ от 29.02.2016 № 74/114/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пр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«</w:t>
            </w:r>
            <w:r w:rsidRPr="007E7114">
              <w:rPr>
                <w:b w:val="0"/>
                <w:bCs w:val="0"/>
                <w:sz w:val="22"/>
                <w:szCs w:val="22"/>
              </w:rPr>
      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      </w:r>
            <w:r>
              <w:rPr>
                <w:b w:val="0"/>
                <w:bCs w:val="0"/>
                <w:sz w:val="22"/>
                <w:szCs w:val="22"/>
              </w:rPr>
              <w:t xml:space="preserve">жилищно-коммунального хозяйства»; требований предусмотренных Правилами </w:t>
            </w:r>
            <w:r w:rsidRPr="007E7114">
              <w:rPr>
                <w:b w:val="0"/>
                <w:bCs w:val="0"/>
                <w:sz w:val="22"/>
                <w:szCs w:val="22"/>
              </w:rPr>
              <w:t>осуществления деятельности по управлению многоквартирными домам</w:t>
            </w:r>
            <w:r>
              <w:rPr>
                <w:b w:val="0"/>
                <w:bCs w:val="0"/>
                <w:sz w:val="22"/>
                <w:szCs w:val="22"/>
              </w:rPr>
              <w:t xml:space="preserve">и, </w:t>
            </w:r>
            <w:r w:rsidRPr="007E7114">
              <w:rPr>
                <w:b w:val="0"/>
                <w:bCs w:val="0"/>
                <w:sz w:val="22"/>
                <w:szCs w:val="22"/>
              </w:rPr>
              <w:t>утв</w:t>
            </w:r>
            <w:r>
              <w:rPr>
                <w:b w:val="0"/>
                <w:bCs w:val="0"/>
                <w:sz w:val="22"/>
                <w:szCs w:val="22"/>
              </w:rPr>
              <w:t xml:space="preserve">ержденные </w:t>
            </w:r>
            <w:hyperlink r:id="rId7" w:anchor="/document/70379374/entry/0" w:history="1">
              <w:r w:rsidRPr="007E7114"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 w:rsidRPr="007E7114">
              <w:rPr>
                <w:b w:val="0"/>
                <w:bCs w:val="0"/>
                <w:sz w:val="22"/>
                <w:szCs w:val="22"/>
              </w:rPr>
              <w:t> Правительства РФ</w:t>
            </w:r>
            <w:r>
              <w:rPr>
                <w:b w:val="0"/>
                <w:bCs w:val="0"/>
                <w:sz w:val="22"/>
                <w:szCs w:val="22"/>
              </w:rPr>
              <w:t> от 15.05.</w:t>
            </w:r>
            <w:r w:rsidRPr="007E7114">
              <w:rPr>
                <w:b w:val="0"/>
                <w:bCs w:val="0"/>
                <w:sz w:val="22"/>
                <w:szCs w:val="22"/>
              </w:rPr>
              <w:t>2013</w:t>
            </w:r>
            <w:r>
              <w:rPr>
                <w:b w:val="0"/>
                <w:bCs w:val="0"/>
                <w:sz w:val="22"/>
                <w:szCs w:val="22"/>
              </w:rPr>
              <w:t xml:space="preserve"> №</w:t>
            </w:r>
            <w:r w:rsidRPr="007E7114">
              <w:rPr>
                <w:b w:val="0"/>
                <w:bCs w:val="0"/>
                <w:sz w:val="22"/>
                <w:szCs w:val="22"/>
              </w:rPr>
              <w:t xml:space="preserve">416 </w:t>
            </w:r>
            <w:r>
              <w:rPr>
                <w:b w:val="0"/>
                <w:bCs w:val="0"/>
                <w:sz w:val="22"/>
                <w:szCs w:val="22"/>
              </w:rPr>
              <w:t>в части раскрытия информации и осуществления аварийно-диспетчерского обслуживания;</w:t>
            </w:r>
            <w:r w:rsidR="00C97477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требований </w:t>
            </w:r>
            <w:r w:rsidR="00C97477">
              <w:rPr>
                <w:b w:val="0"/>
                <w:bCs w:val="0"/>
                <w:sz w:val="22"/>
                <w:szCs w:val="22"/>
              </w:rPr>
              <w:t xml:space="preserve">предусмотренных </w:t>
            </w:r>
            <w:r w:rsidR="00C97477" w:rsidRPr="00C97477">
              <w:rPr>
                <w:b w:val="0"/>
                <w:bCs w:val="0"/>
                <w:sz w:val="22"/>
                <w:szCs w:val="22"/>
              </w:rPr>
              <w:t>Правила</w:t>
            </w:r>
            <w:r w:rsidR="00C97477">
              <w:rPr>
                <w:b w:val="0"/>
                <w:bCs w:val="0"/>
                <w:sz w:val="22"/>
                <w:szCs w:val="22"/>
              </w:rPr>
              <w:t>ми</w:t>
            </w:r>
            <w:r w:rsidR="00C97477" w:rsidRPr="00C97477"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</w:t>
            </w:r>
            <w:r w:rsidR="00C97477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C97477" w:rsidRPr="00C97477">
              <w:rPr>
                <w:b w:val="0"/>
                <w:bCs w:val="0"/>
                <w:sz w:val="22"/>
                <w:szCs w:val="22"/>
              </w:rPr>
              <w:t>утв. </w:t>
            </w:r>
            <w:hyperlink r:id="rId8" w:anchor="/document/12186043/entry/0" w:history="1">
              <w:r w:rsidR="00C97477" w:rsidRPr="00C97477"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 w:rsidR="00C97477" w:rsidRPr="00C97477">
              <w:rPr>
                <w:b w:val="0"/>
                <w:bCs w:val="0"/>
                <w:sz w:val="22"/>
                <w:szCs w:val="22"/>
              </w:rPr>
              <w:t xml:space="preserve"> Правительства РФ от </w:t>
            </w:r>
            <w:r w:rsidR="00C97477">
              <w:rPr>
                <w:b w:val="0"/>
                <w:bCs w:val="0"/>
                <w:sz w:val="22"/>
                <w:szCs w:val="22"/>
              </w:rPr>
              <w:t>06.05.</w:t>
            </w:r>
            <w:r w:rsidR="00C97477" w:rsidRPr="00C97477">
              <w:rPr>
                <w:b w:val="0"/>
                <w:bCs w:val="0"/>
                <w:sz w:val="22"/>
                <w:szCs w:val="22"/>
              </w:rPr>
              <w:t>2011</w:t>
            </w:r>
            <w:r w:rsidR="00C97477">
              <w:rPr>
                <w:b w:val="0"/>
                <w:bCs w:val="0"/>
                <w:sz w:val="22"/>
                <w:szCs w:val="22"/>
              </w:rPr>
              <w:t xml:space="preserve"> №</w:t>
            </w:r>
            <w:r w:rsidR="00C97477" w:rsidRPr="00C97477">
              <w:rPr>
                <w:b w:val="0"/>
                <w:bCs w:val="0"/>
                <w:sz w:val="22"/>
                <w:szCs w:val="22"/>
              </w:rPr>
              <w:t>354</w:t>
            </w:r>
            <w:r w:rsidR="00C97477">
              <w:rPr>
                <w:b w:val="0"/>
                <w:bCs w:val="0"/>
                <w:sz w:val="22"/>
                <w:szCs w:val="22"/>
              </w:rPr>
              <w:t xml:space="preserve"> в части правильности определения размера платы за коммунальные услуги.</w:t>
            </w:r>
          </w:p>
          <w:p w:rsidR="00094A8C" w:rsidRPr="00C97477" w:rsidRDefault="00094A8C" w:rsidP="00094A8C">
            <w:pPr>
              <w:pStyle w:val="2"/>
              <w:shd w:val="clear" w:color="auto" w:fill="FFFFFF"/>
              <w:spacing w:before="0" w:beforeAutospacing="0" w:after="255" w:afterAutospacing="0" w:line="300" w:lineRule="atLeast"/>
              <w:jc w:val="both"/>
              <w:rPr>
                <w:b w:val="0"/>
                <w:bCs w:val="0"/>
                <w:sz w:val="22"/>
                <w:szCs w:val="22"/>
              </w:rPr>
            </w:pPr>
            <w:r w:rsidRPr="00094A8C">
              <w:rPr>
                <w:b w:val="0"/>
                <w:bCs w:val="0"/>
                <w:sz w:val="22"/>
                <w:szCs w:val="22"/>
                <w:highlight w:val="yellow"/>
              </w:rPr>
              <w:t>ссылка</w:t>
            </w:r>
          </w:p>
        </w:tc>
      </w:tr>
      <w:tr w:rsidR="00C97477" w:rsidRPr="005D0150" w:rsidTr="005D0150">
        <w:tc>
          <w:tcPr>
            <w:tcW w:w="5011" w:type="dxa"/>
            <w:vAlign w:val="center"/>
          </w:tcPr>
          <w:p w:rsidR="00BE0FC5" w:rsidRPr="00447C19" w:rsidRDefault="00C97477" w:rsidP="007F756F">
            <w:pPr>
              <w:jc w:val="center"/>
            </w:pPr>
            <w:r>
              <w:t>Актуализация руководства по соблюдению обязательных требований</w:t>
            </w:r>
          </w:p>
        </w:tc>
        <w:tc>
          <w:tcPr>
            <w:tcW w:w="3324" w:type="dxa"/>
            <w:vAlign w:val="center"/>
          </w:tcPr>
          <w:p w:rsidR="00BE0FC5" w:rsidRPr="00447C19" w:rsidRDefault="00BE0FC5" w:rsidP="007F756F">
            <w:pPr>
              <w:jc w:val="center"/>
            </w:pPr>
            <w:r w:rsidRPr="00447C19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BE0FC5" w:rsidRPr="00447C19" w:rsidRDefault="00BE0FC5" w:rsidP="00C97477">
            <w:pPr>
              <w:jc w:val="center"/>
            </w:pPr>
            <w:r w:rsidRPr="00447C19">
              <w:rPr>
                <w:sz w:val="22"/>
                <w:szCs w:val="22"/>
              </w:rPr>
              <w:t xml:space="preserve">По мере </w:t>
            </w:r>
            <w:r w:rsidR="00C97477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4514" w:type="dxa"/>
            <w:vAlign w:val="center"/>
          </w:tcPr>
          <w:p w:rsidR="00BE0FC5" w:rsidRPr="005D0150" w:rsidRDefault="00C97477" w:rsidP="007F756F">
            <w:pPr>
              <w:jc w:val="center"/>
            </w:pPr>
            <w:r>
              <w:rPr>
                <w:sz w:val="22"/>
                <w:szCs w:val="22"/>
              </w:rPr>
              <w:t>Актуализировано</w:t>
            </w:r>
          </w:p>
        </w:tc>
      </w:tr>
      <w:tr w:rsidR="00C97477" w:rsidRPr="005D0150" w:rsidTr="005D0150">
        <w:tc>
          <w:tcPr>
            <w:tcW w:w="5011" w:type="dxa"/>
            <w:vAlign w:val="center"/>
          </w:tcPr>
          <w:p w:rsidR="00BE0FC5" w:rsidRPr="00447C19" w:rsidRDefault="00C97477" w:rsidP="00142986">
            <w:pPr>
              <w:jc w:val="center"/>
            </w:pPr>
            <w:r>
              <w:lastRenderedPageBreak/>
              <w:t>Проведение семинаров (совещаний) по актуальным вопросам контроля (надзора)</w:t>
            </w:r>
          </w:p>
        </w:tc>
        <w:tc>
          <w:tcPr>
            <w:tcW w:w="3324" w:type="dxa"/>
            <w:vAlign w:val="center"/>
          </w:tcPr>
          <w:p w:rsidR="00BE0FC5" w:rsidRPr="00447C19" w:rsidRDefault="00C97477" w:rsidP="00142986">
            <w:pPr>
              <w:jc w:val="center"/>
            </w:pPr>
            <w:r w:rsidRPr="00447C19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BE0FC5" w:rsidRPr="00447C19" w:rsidRDefault="00142986" w:rsidP="00C97477">
            <w:pPr>
              <w:jc w:val="center"/>
            </w:pPr>
            <w:r w:rsidRPr="00447C19">
              <w:rPr>
                <w:sz w:val="22"/>
                <w:szCs w:val="22"/>
              </w:rPr>
              <w:t xml:space="preserve">По мере </w:t>
            </w:r>
            <w:r w:rsidR="00C97477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4514" w:type="dxa"/>
            <w:vAlign w:val="center"/>
          </w:tcPr>
          <w:p w:rsidR="00094A8C" w:rsidRDefault="00094A8C" w:rsidP="00C97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феврале 2021 года проведено совещание совместно с ПАО «ТГК-14» по вопросу внесения изменений в ст. 157.2 ЖК РФ.</w:t>
            </w:r>
          </w:p>
          <w:p w:rsidR="00C97477" w:rsidRDefault="00447C19" w:rsidP="00C97477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 xml:space="preserve">В </w:t>
            </w:r>
            <w:r w:rsidR="00C97477">
              <w:rPr>
                <w:sz w:val="22"/>
                <w:szCs w:val="22"/>
              </w:rPr>
              <w:t xml:space="preserve">марте 2021 года проведено совещание по вопросам осуществления аварийно-диспетчерского обслуживания </w:t>
            </w:r>
            <w:proofErr w:type="spellStart"/>
            <w:r w:rsidR="00C97477">
              <w:rPr>
                <w:sz w:val="22"/>
                <w:szCs w:val="22"/>
              </w:rPr>
              <w:t>ресурсоснабжающей</w:t>
            </w:r>
            <w:proofErr w:type="spellEnd"/>
            <w:r w:rsidR="00C97477">
              <w:rPr>
                <w:sz w:val="22"/>
                <w:szCs w:val="22"/>
              </w:rPr>
              <w:t xml:space="preserve"> организацией </w:t>
            </w:r>
          </w:p>
          <w:p w:rsidR="00BE0FC5" w:rsidRDefault="00C97477" w:rsidP="00C97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«ТГК-14»</w:t>
            </w:r>
          </w:p>
          <w:p w:rsidR="00C97477" w:rsidRPr="005D0150" w:rsidRDefault="00C97477" w:rsidP="00C97477">
            <w:pPr>
              <w:jc w:val="center"/>
            </w:pPr>
          </w:p>
        </w:tc>
      </w:tr>
      <w:tr w:rsidR="00C97477" w:rsidRPr="005D0150" w:rsidTr="005D0150">
        <w:tc>
          <w:tcPr>
            <w:tcW w:w="5011" w:type="dxa"/>
            <w:vAlign w:val="center"/>
          </w:tcPr>
          <w:p w:rsidR="00C97477" w:rsidRDefault="00C97477" w:rsidP="00142986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324" w:type="dxa"/>
            <w:vAlign w:val="center"/>
          </w:tcPr>
          <w:p w:rsidR="00C97477" w:rsidRPr="00447C19" w:rsidRDefault="00C97477" w:rsidP="00142986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C97477" w:rsidRPr="00447C19" w:rsidRDefault="00C97477" w:rsidP="00C97477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 xml:space="preserve">По мере </w:t>
            </w: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4514" w:type="dxa"/>
            <w:vAlign w:val="center"/>
          </w:tcPr>
          <w:p w:rsidR="00C97477" w:rsidRPr="00447C19" w:rsidRDefault="00C97477" w:rsidP="00C97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Выполнена рассылка информационных писем </w:t>
            </w:r>
            <w:r w:rsidR="00761F19">
              <w:rPr>
                <w:sz w:val="22"/>
                <w:szCs w:val="22"/>
              </w:rPr>
              <w:t xml:space="preserve">в </w:t>
            </w:r>
            <w:proofErr w:type="spellStart"/>
            <w:r w:rsidR="00761F19">
              <w:rPr>
                <w:sz w:val="22"/>
                <w:szCs w:val="22"/>
              </w:rPr>
              <w:t>ресурсоснабжающие</w:t>
            </w:r>
            <w:proofErr w:type="spellEnd"/>
            <w:r w:rsidR="00761F19">
              <w:rPr>
                <w:sz w:val="22"/>
                <w:szCs w:val="22"/>
              </w:rPr>
              <w:t xml:space="preserve"> организации </w:t>
            </w:r>
            <w:r>
              <w:rPr>
                <w:sz w:val="22"/>
                <w:szCs w:val="22"/>
              </w:rPr>
              <w:t xml:space="preserve">в связи с внесением изменений в ст. 157.2 ЖК РФ. </w:t>
            </w:r>
          </w:p>
        </w:tc>
      </w:tr>
      <w:tr w:rsidR="00761F19" w:rsidRPr="005D0150" w:rsidTr="005D0150">
        <w:tc>
          <w:tcPr>
            <w:tcW w:w="5011" w:type="dxa"/>
            <w:vAlign w:val="center"/>
          </w:tcPr>
          <w:p w:rsidR="00761F19" w:rsidRDefault="00761F19" w:rsidP="00142986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324" w:type="dxa"/>
            <w:vAlign w:val="center"/>
          </w:tcPr>
          <w:p w:rsidR="00761F19" w:rsidRPr="00447C19" w:rsidRDefault="00761F19" w:rsidP="00142986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761F19" w:rsidRPr="00447C19" w:rsidRDefault="00761F19" w:rsidP="00C97477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 xml:space="preserve">По мере </w:t>
            </w: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4514" w:type="dxa"/>
            <w:vAlign w:val="center"/>
          </w:tcPr>
          <w:p w:rsidR="00FA46FA" w:rsidRPr="00FA46FA" w:rsidRDefault="00761F19" w:rsidP="00FA46FA">
            <w:pPr>
              <w:jc w:val="center"/>
            </w:pPr>
            <w:r>
              <w:rPr>
                <w:sz w:val="22"/>
                <w:szCs w:val="22"/>
              </w:rPr>
              <w:t xml:space="preserve">Размещение (публикация) на сайте </w:t>
            </w:r>
            <w:r>
              <w:t xml:space="preserve">Инспекции в информационно-телекоммуникационной сети «Интернет» информационных сообщений </w:t>
            </w:r>
            <w:r w:rsidR="00FA46FA">
              <w:t xml:space="preserve">о внесении изменений в действующее жилищное законодательство, информация о неправомерных действиях управляющих и </w:t>
            </w:r>
            <w:proofErr w:type="spellStart"/>
            <w:r w:rsidR="00FA46FA">
              <w:t>ресурсоснабжающих</w:t>
            </w:r>
            <w:proofErr w:type="spellEnd"/>
            <w:r w:rsidR="00FA46FA">
              <w:t xml:space="preserve"> организациях при осуществлении деятельности.</w:t>
            </w:r>
          </w:p>
        </w:tc>
      </w:tr>
      <w:tr w:rsidR="00FA46FA" w:rsidRPr="005D0150" w:rsidTr="005D0150">
        <w:tc>
          <w:tcPr>
            <w:tcW w:w="5011" w:type="dxa"/>
            <w:vAlign w:val="center"/>
          </w:tcPr>
          <w:p w:rsidR="00FA46FA" w:rsidRDefault="00DE573A" w:rsidP="00860D25">
            <w:pPr>
              <w:jc w:val="center"/>
            </w:pPr>
            <w:r>
              <w:t xml:space="preserve">Обобщение и анализ информации по осуществлению государственного контроля (надзора) по соблюдению обязательных требований: подготовка доклада (информации) об осуществлении государственного контроля (надзора), </w:t>
            </w:r>
            <w:r w:rsidR="00860D25">
              <w:t>п</w:t>
            </w:r>
            <w:r>
              <w:t>роведение публичных обсуждений результатов правоприменительной практики</w:t>
            </w:r>
          </w:p>
        </w:tc>
        <w:tc>
          <w:tcPr>
            <w:tcW w:w="3324" w:type="dxa"/>
            <w:vAlign w:val="center"/>
          </w:tcPr>
          <w:p w:rsidR="00FA46FA" w:rsidRPr="00447C19" w:rsidRDefault="00860D25" w:rsidP="00142986">
            <w:pPr>
              <w:jc w:val="center"/>
              <w:rPr>
                <w:sz w:val="22"/>
                <w:szCs w:val="22"/>
              </w:rPr>
            </w:pPr>
            <w:r w:rsidRPr="00447C19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FA46FA" w:rsidRPr="00447C19" w:rsidRDefault="00860D25" w:rsidP="00C97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</w:t>
            </w:r>
          </w:p>
        </w:tc>
        <w:tc>
          <w:tcPr>
            <w:tcW w:w="4514" w:type="dxa"/>
            <w:vAlign w:val="center"/>
          </w:tcPr>
          <w:p w:rsidR="00FA46FA" w:rsidRDefault="00860D25" w:rsidP="00FA4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31.03.2021</w:t>
            </w:r>
          </w:p>
        </w:tc>
      </w:tr>
    </w:tbl>
    <w:p w:rsidR="006D286E" w:rsidRDefault="006D286E" w:rsidP="00B01CC0"/>
    <w:p w:rsidR="00C86822" w:rsidRDefault="00C86822" w:rsidP="00B01CC0"/>
    <w:p w:rsidR="00C86822" w:rsidRDefault="00C86822" w:rsidP="00B01CC0"/>
    <w:p w:rsidR="00C86822" w:rsidRDefault="00C86822" w:rsidP="00B01CC0"/>
    <w:sectPr w:rsidR="00C86822" w:rsidSect="009D6B0F">
      <w:headerReference w:type="default" r:id="rId9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D7" w:rsidRDefault="000E2CD7">
      <w:r>
        <w:separator/>
      </w:r>
    </w:p>
  </w:endnote>
  <w:endnote w:type="continuationSeparator" w:id="0">
    <w:p w:rsidR="000E2CD7" w:rsidRDefault="000E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D7" w:rsidRDefault="000E2CD7">
      <w:r>
        <w:separator/>
      </w:r>
    </w:p>
  </w:footnote>
  <w:footnote w:type="continuationSeparator" w:id="0">
    <w:p w:rsidR="000E2CD7" w:rsidRDefault="000E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5CE">
      <w:rPr>
        <w:rStyle w:val="a5"/>
        <w:noProof/>
      </w:rPr>
      <w:t>3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151A3"/>
    <w:rsid w:val="00054030"/>
    <w:rsid w:val="0008036E"/>
    <w:rsid w:val="00094A8C"/>
    <w:rsid w:val="000A1CF5"/>
    <w:rsid w:val="000E2CD7"/>
    <w:rsid w:val="00125CE3"/>
    <w:rsid w:val="00131474"/>
    <w:rsid w:val="00136B17"/>
    <w:rsid w:val="00142986"/>
    <w:rsid w:val="001528BF"/>
    <w:rsid w:val="001833F7"/>
    <w:rsid w:val="001854CE"/>
    <w:rsid w:val="001A13C8"/>
    <w:rsid w:val="001A4AC6"/>
    <w:rsid w:val="00226D34"/>
    <w:rsid w:val="0024048E"/>
    <w:rsid w:val="00284B08"/>
    <w:rsid w:val="00294CF2"/>
    <w:rsid w:val="002A7D07"/>
    <w:rsid w:val="002C5834"/>
    <w:rsid w:val="002E0671"/>
    <w:rsid w:val="003142C7"/>
    <w:rsid w:val="0033271E"/>
    <w:rsid w:val="0037063D"/>
    <w:rsid w:val="003817B4"/>
    <w:rsid w:val="00381EBD"/>
    <w:rsid w:val="003E14BE"/>
    <w:rsid w:val="003E6E9F"/>
    <w:rsid w:val="00430054"/>
    <w:rsid w:val="00446851"/>
    <w:rsid w:val="00447C19"/>
    <w:rsid w:val="0046678F"/>
    <w:rsid w:val="004801E8"/>
    <w:rsid w:val="004A361F"/>
    <w:rsid w:val="004D3527"/>
    <w:rsid w:val="004D7E71"/>
    <w:rsid w:val="004E093C"/>
    <w:rsid w:val="004E143D"/>
    <w:rsid w:val="004F7D72"/>
    <w:rsid w:val="00556DA8"/>
    <w:rsid w:val="005732CE"/>
    <w:rsid w:val="0057753C"/>
    <w:rsid w:val="005827C8"/>
    <w:rsid w:val="00590750"/>
    <w:rsid w:val="005D0150"/>
    <w:rsid w:val="0060401B"/>
    <w:rsid w:val="006212F3"/>
    <w:rsid w:val="00627713"/>
    <w:rsid w:val="00650ED4"/>
    <w:rsid w:val="00655D84"/>
    <w:rsid w:val="00667DF0"/>
    <w:rsid w:val="006A3907"/>
    <w:rsid w:val="006D286E"/>
    <w:rsid w:val="006D6F21"/>
    <w:rsid w:val="006F42D5"/>
    <w:rsid w:val="007363D0"/>
    <w:rsid w:val="00757EA3"/>
    <w:rsid w:val="00761F19"/>
    <w:rsid w:val="007960D6"/>
    <w:rsid w:val="007A2698"/>
    <w:rsid w:val="007B474D"/>
    <w:rsid w:val="007E7114"/>
    <w:rsid w:val="007F756F"/>
    <w:rsid w:val="00801F16"/>
    <w:rsid w:val="0081269F"/>
    <w:rsid w:val="0084448C"/>
    <w:rsid w:val="00860D25"/>
    <w:rsid w:val="00862567"/>
    <w:rsid w:val="00864486"/>
    <w:rsid w:val="008A6C70"/>
    <w:rsid w:val="008C5CC8"/>
    <w:rsid w:val="008D6365"/>
    <w:rsid w:val="008E6FA2"/>
    <w:rsid w:val="008F4E2F"/>
    <w:rsid w:val="009332A9"/>
    <w:rsid w:val="00956D62"/>
    <w:rsid w:val="009C1AE8"/>
    <w:rsid w:val="009D5EEF"/>
    <w:rsid w:val="009D6B0F"/>
    <w:rsid w:val="009F71AE"/>
    <w:rsid w:val="00A228FC"/>
    <w:rsid w:val="00A36014"/>
    <w:rsid w:val="00A76165"/>
    <w:rsid w:val="00AD7F89"/>
    <w:rsid w:val="00B01CC0"/>
    <w:rsid w:val="00B25EAC"/>
    <w:rsid w:val="00B774A0"/>
    <w:rsid w:val="00BA66F3"/>
    <w:rsid w:val="00BE0FC5"/>
    <w:rsid w:val="00C144F6"/>
    <w:rsid w:val="00C16A27"/>
    <w:rsid w:val="00C33B19"/>
    <w:rsid w:val="00C36D5C"/>
    <w:rsid w:val="00C63C68"/>
    <w:rsid w:val="00C6435F"/>
    <w:rsid w:val="00C86822"/>
    <w:rsid w:val="00C97477"/>
    <w:rsid w:val="00CB65CE"/>
    <w:rsid w:val="00CC0EB7"/>
    <w:rsid w:val="00CD6D5F"/>
    <w:rsid w:val="00CE1AF9"/>
    <w:rsid w:val="00CE3D1D"/>
    <w:rsid w:val="00D00D7E"/>
    <w:rsid w:val="00D2507B"/>
    <w:rsid w:val="00D36FBA"/>
    <w:rsid w:val="00D43ACF"/>
    <w:rsid w:val="00D6199D"/>
    <w:rsid w:val="00D82CBB"/>
    <w:rsid w:val="00D8436B"/>
    <w:rsid w:val="00D87048"/>
    <w:rsid w:val="00D916FA"/>
    <w:rsid w:val="00DA1C5D"/>
    <w:rsid w:val="00DD0823"/>
    <w:rsid w:val="00DE0861"/>
    <w:rsid w:val="00DE573A"/>
    <w:rsid w:val="00E0426F"/>
    <w:rsid w:val="00E237C7"/>
    <w:rsid w:val="00E43F0D"/>
    <w:rsid w:val="00E46270"/>
    <w:rsid w:val="00E6038A"/>
    <w:rsid w:val="00E92616"/>
    <w:rsid w:val="00E92B82"/>
    <w:rsid w:val="00E97639"/>
    <w:rsid w:val="00EB302D"/>
    <w:rsid w:val="00EC2BBE"/>
    <w:rsid w:val="00EC68B4"/>
    <w:rsid w:val="00EE7AFB"/>
    <w:rsid w:val="00F00BD1"/>
    <w:rsid w:val="00F121BA"/>
    <w:rsid w:val="00F47314"/>
    <w:rsid w:val="00F66BD3"/>
    <w:rsid w:val="00FA0422"/>
    <w:rsid w:val="00FA46FA"/>
    <w:rsid w:val="00FB7E70"/>
    <w:rsid w:val="00FC01B3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92BB1-FBC3-4085-AF86-F6CAB3CA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7E71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7114"/>
    <w:rPr>
      <w:rFonts w:ascii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locked/>
    <w:rsid w:val="007E7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Скобяева Мария Владимировна</cp:lastModifiedBy>
  <cp:revision>3</cp:revision>
  <cp:lastPrinted>2021-03-31T06:04:00Z</cp:lastPrinted>
  <dcterms:created xsi:type="dcterms:W3CDTF">2021-03-31T07:16:00Z</dcterms:created>
  <dcterms:modified xsi:type="dcterms:W3CDTF">2021-03-31T07:25:00Z</dcterms:modified>
</cp:coreProperties>
</file>