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F0" w:rsidRPr="000E4312" w:rsidRDefault="00CF77F0" w:rsidP="00CF77F0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13CF6FDF" wp14:editId="1803717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0" w:rsidRPr="000E4312" w:rsidRDefault="00CF77F0" w:rsidP="00CF77F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F77F0" w:rsidRPr="000E4312" w:rsidRDefault="00CF77F0" w:rsidP="00CF77F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F77F0" w:rsidRPr="000E4312" w:rsidRDefault="00CF77F0" w:rsidP="00CF77F0">
      <w:pPr>
        <w:jc w:val="center"/>
        <w:rPr>
          <w:b/>
          <w:sz w:val="24"/>
        </w:rPr>
      </w:pPr>
    </w:p>
    <w:p w:rsidR="00CF77F0" w:rsidRPr="000E4312" w:rsidRDefault="00CF77F0" w:rsidP="00CF77F0">
      <w:pPr>
        <w:jc w:val="center"/>
        <w:rPr>
          <w:b/>
          <w:sz w:val="24"/>
        </w:rPr>
      </w:pPr>
    </w:p>
    <w:p w:rsidR="00CF77F0" w:rsidRPr="000E4312" w:rsidRDefault="00CF77F0" w:rsidP="00CF77F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F77F0" w:rsidRPr="000E4312" w:rsidRDefault="00CF77F0" w:rsidP="00CF77F0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CF77F0" w:rsidRPr="00506CD8" w:rsidRDefault="00CF77F0" w:rsidP="00CF77F0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Приозёрное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Борзинский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CF77F0" w:rsidRPr="00506CD8" w:rsidRDefault="00CF77F0" w:rsidP="00CF77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F77F0" w:rsidRPr="00506CD8" w:rsidRDefault="00CF77F0" w:rsidP="00CF77F0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1380-РЛ7-</w:t>
      </w:r>
      <w:r>
        <w:rPr>
          <w:rFonts w:eastAsia="Calibri"/>
          <w:szCs w:val="28"/>
          <w:lang w:eastAsia="en-US"/>
        </w:rPr>
        <w:t>195</w:t>
      </w:r>
      <w:r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>на территории сельского поселения</w:t>
      </w:r>
      <w:proofErr w:type="gramEnd"/>
      <w:r w:rsidRPr="00FA5F9C">
        <w:rPr>
          <w:bCs/>
          <w:szCs w:val="28"/>
        </w:rPr>
        <w:t xml:space="preserve"> </w:t>
      </w:r>
      <w:r w:rsidRPr="0085245E">
        <w:rPr>
          <w:bCs/>
          <w:szCs w:val="28"/>
        </w:rPr>
        <w:t>«</w:t>
      </w:r>
      <w:proofErr w:type="gramStart"/>
      <w:r>
        <w:rPr>
          <w:bCs/>
          <w:szCs w:val="28"/>
        </w:rPr>
        <w:t>Приозёрное</w:t>
      </w:r>
      <w:proofErr w:type="gramEnd"/>
      <w:r w:rsidRPr="0085245E">
        <w:rPr>
          <w:bCs/>
          <w:szCs w:val="28"/>
        </w:rPr>
        <w:t>» муниципального района «</w:t>
      </w:r>
      <w:r>
        <w:rPr>
          <w:bCs/>
          <w:szCs w:val="28"/>
        </w:rPr>
        <w:t>Борзинский</w:t>
      </w:r>
      <w:r w:rsidRPr="0085245E">
        <w:rPr>
          <w:bCs/>
          <w:szCs w:val="28"/>
        </w:rPr>
        <w:t xml:space="preserve"> район» </w:t>
      </w:r>
      <w:r w:rsidRPr="0085245E">
        <w:rPr>
          <w:bCs/>
          <w:spacing w:val="-4"/>
          <w:szCs w:val="28"/>
        </w:rPr>
        <w:t>Забайкальского края</w:t>
      </w:r>
      <w:r w:rsidRPr="00FA5F9C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CF77F0" w:rsidRPr="00256C61" w:rsidRDefault="00CF77F0" w:rsidP="00CF77F0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20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CF77F0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CF77F0" w:rsidRDefault="00CF77F0" w:rsidP="00CF77F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</w:t>
      </w:r>
      <w:r>
        <w:rPr>
          <w:szCs w:val="28"/>
        </w:rPr>
        <w:t xml:space="preserve">животноводческой стоянки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 xml:space="preserve">Пашинова </w:t>
      </w:r>
      <w:proofErr w:type="spellStart"/>
      <w:r>
        <w:rPr>
          <w:rStyle w:val="apple-style-span"/>
          <w:szCs w:val="28"/>
          <w:shd w:val="clear" w:color="auto" w:fill="FFFFFF"/>
        </w:rPr>
        <w:t>Цырен-Доржи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Цыдыповича</w:t>
      </w:r>
      <w:proofErr w:type="spellEnd"/>
      <w:r>
        <w:rPr>
          <w:rStyle w:val="apple-style-span"/>
          <w:szCs w:val="28"/>
          <w:shd w:val="clear" w:color="auto" w:fill="FFFFFF"/>
        </w:rPr>
        <w:t>, расположенного</w:t>
      </w:r>
      <w:r>
        <w:rPr>
          <w:rStyle w:val="apple-style-span"/>
          <w:szCs w:val="28"/>
          <w:shd w:val="clear" w:color="auto" w:fill="FFFFFF"/>
        </w:rPr>
        <w:t xml:space="preserve"> в западном направлении в 5 км от села </w:t>
      </w:r>
      <w:proofErr w:type="gramStart"/>
      <w:r>
        <w:rPr>
          <w:rStyle w:val="apple-style-span"/>
          <w:szCs w:val="28"/>
          <w:shd w:val="clear" w:color="auto" w:fill="FFFFFF"/>
        </w:rPr>
        <w:t>Приозёрное</w:t>
      </w:r>
      <w:proofErr w:type="gramEnd"/>
      <w:r>
        <w:rPr>
          <w:rStyle w:val="apple-style-span"/>
          <w:szCs w:val="28"/>
          <w:shd w:val="clear" w:color="auto" w:fill="FFFFFF"/>
        </w:rPr>
        <w:t xml:space="preserve"> </w:t>
      </w:r>
      <w:r w:rsidRPr="0085245E">
        <w:rPr>
          <w:bCs/>
          <w:szCs w:val="28"/>
        </w:rPr>
        <w:t>муниципального района «</w:t>
      </w:r>
      <w:r>
        <w:rPr>
          <w:bCs/>
          <w:szCs w:val="28"/>
        </w:rPr>
        <w:t>Борзинский</w:t>
      </w:r>
      <w:r w:rsidRPr="0085245E">
        <w:rPr>
          <w:bCs/>
          <w:szCs w:val="28"/>
        </w:rPr>
        <w:t xml:space="preserve"> район» </w:t>
      </w:r>
      <w:r w:rsidRPr="0085245E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 xml:space="preserve"> на земельном участке с кадастровым номером 75:04:000000:948</w:t>
      </w:r>
      <w:r>
        <w:rPr>
          <w:rStyle w:val="apple-style-span"/>
          <w:szCs w:val="28"/>
          <w:shd w:val="clear" w:color="auto" w:fill="FFFFFF"/>
        </w:rPr>
        <w:t>;</w:t>
      </w:r>
    </w:p>
    <w:p w:rsidR="00CF77F0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Pr="00FA5F9C">
        <w:rPr>
          <w:bCs/>
          <w:szCs w:val="28"/>
        </w:rPr>
        <w:t xml:space="preserve">сельского поселения </w:t>
      </w:r>
      <w:r w:rsidRPr="0085245E">
        <w:rPr>
          <w:bCs/>
          <w:szCs w:val="28"/>
        </w:rPr>
        <w:t>«</w:t>
      </w:r>
      <w:r>
        <w:rPr>
          <w:bCs/>
          <w:szCs w:val="28"/>
        </w:rPr>
        <w:t>Приозёрное</w:t>
      </w:r>
      <w:r w:rsidRPr="0085245E">
        <w:rPr>
          <w:bCs/>
          <w:szCs w:val="28"/>
        </w:rPr>
        <w:t>» муниципального района «</w:t>
      </w:r>
      <w:r>
        <w:rPr>
          <w:bCs/>
          <w:szCs w:val="28"/>
        </w:rPr>
        <w:t>Борзинский</w:t>
      </w:r>
      <w:r w:rsidRPr="0085245E">
        <w:rPr>
          <w:bCs/>
          <w:szCs w:val="28"/>
        </w:rPr>
        <w:t xml:space="preserve"> район» </w:t>
      </w:r>
      <w:r w:rsidRPr="0085245E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3) угрожаемой зоной – территорию вокруг неблагополучного пункта, радиус которой составляет 20 км от его границ, включая территорию города Борзя, села </w:t>
      </w:r>
      <w:proofErr w:type="spellStart"/>
      <w:r>
        <w:rPr>
          <w:bCs/>
          <w:spacing w:val="-4"/>
          <w:szCs w:val="28"/>
        </w:rPr>
        <w:t>Чиндант</w:t>
      </w:r>
      <w:proofErr w:type="spellEnd"/>
      <w:r>
        <w:rPr>
          <w:bCs/>
          <w:spacing w:val="-4"/>
          <w:szCs w:val="28"/>
        </w:rPr>
        <w:t xml:space="preserve"> 2-й, </w:t>
      </w:r>
      <w:r w:rsidR="0003060F">
        <w:rPr>
          <w:bCs/>
          <w:spacing w:val="-4"/>
          <w:szCs w:val="28"/>
        </w:rPr>
        <w:t xml:space="preserve">поселка городского типа Шерловая Гора </w:t>
      </w:r>
      <w:r w:rsidR="0003060F">
        <w:rPr>
          <w:bCs/>
          <w:spacing w:val="-4"/>
          <w:szCs w:val="28"/>
        </w:rPr>
        <w:t>м</w:t>
      </w:r>
      <w:r w:rsidR="0003060F" w:rsidRPr="00841236">
        <w:rPr>
          <w:rStyle w:val="apple-style-span"/>
          <w:szCs w:val="28"/>
          <w:shd w:val="clear" w:color="auto" w:fill="FFFFFF"/>
        </w:rPr>
        <w:t>униципального района «</w:t>
      </w:r>
      <w:r w:rsidR="0003060F">
        <w:rPr>
          <w:rStyle w:val="apple-style-span"/>
          <w:szCs w:val="28"/>
          <w:shd w:val="clear" w:color="auto" w:fill="FFFFFF"/>
        </w:rPr>
        <w:t xml:space="preserve">Борзинский </w:t>
      </w:r>
      <w:r w:rsidR="0003060F" w:rsidRPr="00841236">
        <w:rPr>
          <w:rStyle w:val="apple-style-span"/>
          <w:szCs w:val="28"/>
          <w:shd w:val="clear" w:color="auto" w:fill="FFFFFF"/>
        </w:rPr>
        <w:t>район» Забайкальского края</w:t>
      </w:r>
      <w:r w:rsidR="0003060F">
        <w:rPr>
          <w:rStyle w:val="apple-style-span"/>
          <w:szCs w:val="28"/>
          <w:shd w:val="clear" w:color="auto" w:fill="FFFFFF"/>
        </w:rPr>
        <w:t xml:space="preserve">, </w:t>
      </w:r>
      <w:r w:rsidR="0003060F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поселка при станции </w:t>
      </w:r>
      <w:r w:rsidR="0003060F">
        <w:rPr>
          <w:bCs/>
          <w:spacing w:val="-4"/>
          <w:szCs w:val="28"/>
        </w:rPr>
        <w:t>Хада-Булак</w:t>
      </w:r>
      <w:r>
        <w:rPr>
          <w:bCs/>
          <w:spacing w:val="-4"/>
          <w:szCs w:val="28"/>
        </w:rPr>
        <w:t xml:space="preserve"> м</w:t>
      </w:r>
      <w:r w:rsidRPr="00841236">
        <w:rPr>
          <w:rStyle w:val="apple-style-span"/>
          <w:szCs w:val="28"/>
          <w:shd w:val="clear" w:color="auto" w:fill="FFFFFF"/>
        </w:rPr>
        <w:t>униципального района «</w:t>
      </w:r>
      <w:r>
        <w:rPr>
          <w:rStyle w:val="apple-style-span"/>
          <w:szCs w:val="28"/>
          <w:shd w:val="clear" w:color="auto" w:fill="FFFFFF"/>
        </w:rPr>
        <w:t>Оловяннинский</w:t>
      </w:r>
      <w:r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CF77F0" w:rsidRPr="00256C61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CF77F0" w:rsidRPr="00256C61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CF77F0" w:rsidRPr="00256C61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CF77F0" w:rsidRPr="00256C61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CF77F0" w:rsidRPr="00506CD8" w:rsidRDefault="00CF77F0" w:rsidP="00CF77F0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CF77F0" w:rsidRPr="00256C61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CF77F0" w:rsidRPr="00256C61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F77F0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CF77F0" w:rsidRDefault="00CF77F0" w:rsidP="00CF77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CF77F0" w:rsidRPr="00256C61" w:rsidRDefault="00CF77F0" w:rsidP="00CF77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CF77F0" w:rsidRPr="00256C61" w:rsidRDefault="00CF77F0" w:rsidP="00CF77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F77F0" w:rsidRPr="00256C61" w:rsidRDefault="00CF77F0" w:rsidP="00CF77F0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CF77F0" w:rsidRPr="00506CD8" w:rsidRDefault="00CF77F0" w:rsidP="00CF77F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F77F0" w:rsidRPr="00506CD8" w:rsidTr="00DB3C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77F0" w:rsidRPr="00506CD8" w:rsidRDefault="00CF77F0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77F0" w:rsidRPr="00506CD8" w:rsidRDefault="00CF77F0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CF77F0" w:rsidRPr="000E4312" w:rsidRDefault="00CF77F0" w:rsidP="00CF77F0">
      <w:pPr>
        <w:pStyle w:val="a3"/>
        <w:rPr>
          <w:bCs/>
          <w:sz w:val="27"/>
          <w:szCs w:val="27"/>
        </w:rPr>
        <w:sectPr w:rsidR="00CF77F0" w:rsidRPr="000E4312" w:rsidSect="001802F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F77F0" w:rsidRPr="00506CD8" w:rsidRDefault="00CF77F0" w:rsidP="00CF77F0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CF77F0" w:rsidRPr="00506CD8" w:rsidRDefault="00CF77F0" w:rsidP="00CF77F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CF77F0" w:rsidRPr="00506CD8" w:rsidRDefault="00CF77F0" w:rsidP="00CF77F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CF77F0" w:rsidRPr="00506CD8" w:rsidRDefault="00CF77F0" w:rsidP="00CF77F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CF77F0" w:rsidRPr="00506CD8" w:rsidRDefault="00CF77F0" w:rsidP="00CF77F0">
      <w:pPr>
        <w:jc w:val="right"/>
        <w:rPr>
          <w:b/>
          <w:szCs w:val="28"/>
        </w:rPr>
      </w:pPr>
    </w:p>
    <w:p w:rsidR="00CF77F0" w:rsidRPr="00506CD8" w:rsidRDefault="00CF77F0" w:rsidP="00CF77F0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CF77F0" w:rsidRPr="0067204C" w:rsidRDefault="00CF77F0" w:rsidP="00CF77F0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>мероприятий по ликвидации очаг</w:t>
      </w:r>
      <w:r>
        <w:rPr>
          <w:rFonts w:eastAsiaTheme="minorHAnsi"/>
          <w:b/>
          <w:spacing w:val="-4"/>
          <w:szCs w:val="28"/>
          <w:lang w:eastAsia="en-US"/>
        </w:rPr>
        <w:t>а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CF77F0" w:rsidRPr="000E4312" w:rsidTr="00DB3CEF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0E4312" w:rsidRDefault="00CF77F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0E4312" w:rsidRDefault="00CF77F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0E4312" w:rsidRDefault="00CF77F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0E4312" w:rsidRDefault="00CF77F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0E4312" w:rsidRDefault="00CF77F0" w:rsidP="00DB3CEF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CF77F0" w:rsidRPr="000E4312" w:rsidRDefault="00CF77F0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F77F0" w:rsidRPr="000E4312" w:rsidRDefault="00CF77F0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F77F0" w:rsidRPr="000E4312" w:rsidRDefault="00CF77F0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CF77F0" w:rsidRPr="000E4312" w:rsidTr="00DB3CEF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Default="00CF77F0" w:rsidP="00DB3C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Default="00CF77F0" w:rsidP="00DB3CEF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Default="00CF77F0" w:rsidP="00DB3CEF">
            <w:pPr>
              <w:spacing w:after="200" w:line="276" w:lineRule="auto"/>
              <w:jc w:val="center"/>
            </w:pP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03060F" w:rsidRPr="0003060F" w:rsidRDefault="0003060F" w:rsidP="0003060F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03060F">
              <w:rPr>
                <w:sz w:val="24"/>
                <w:szCs w:val="28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Пашинова </w:t>
            </w:r>
            <w:proofErr w:type="spellStart"/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>Цырен-Доржи</w:t>
            </w:r>
            <w:proofErr w:type="spellEnd"/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>Цыдыповича</w:t>
            </w:r>
            <w:proofErr w:type="spellEnd"/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расположенного в западном направлении в 5 км от села </w:t>
            </w:r>
            <w:proofErr w:type="gramStart"/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>Приозёрное</w:t>
            </w:r>
            <w:proofErr w:type="gramEnd"/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03060F">
              <w:rPr>
                <w:bCs/>
                <w:sz w:val="24"/>
                <w:szCs w:val="28"/>
              </w:rPr>
              <w:t xml:space="preserve">муниципального района «Борзинский район» </w:t>
            </w:r>
            <w:r w:rsidRPr="0003060F">
              <w:rPr>
                <w:bCs/>
                <w:spacing w:val="-4"/>
                <w:sz w:val="24"/>
                <w:szCs w:val="28"/>
              </w:rPr>
              <w:t>Забайкальского края на земельном участке с кадастровым номером 75:04:000000:948</w:t>
            </w:r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>;</w:t>
            </w:r>
          </w:p>
          <w:p w:rsidR="0003060F" w:rsidRPr="0003060F" w:rsidRDefault="0003060F" w:rsidP="0003060F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03060F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03060F">
              <w:rPr>
                <w:bCs/>
                <w:sz w:val="24"/>
                <w:szCs w:val="28"/>
              </w:rPr>
              <w:t xml:space="preserve">сельского поселения «Приозёрное» муниципального района «Борзинский район» </w:t>
            </w:r>
            <w:r w:rsidRPr="0003060F">
              <w:rPr>
                <w:bCs/>
                <w:spacing w:val="-4"/>
                <w:sz w:val="24"/>
                <w:szCs w:val="28"/>
              </w:rPr>
              <w:t xml:space="preserve">Забайкальского края; </w:t>
            </w:r>
          </w:p>
          <w:p w:rsidR="00CF77F0" w:rsidRPr="0003060F" w:rsidRDefault="0003060F" w:rsidP="0003060F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03060F">
              <w:rPr>
                <w:bCs/>
                <w:spacing w:val="-4"/>
                <w:sz w:val="24"/>
                <w:szCs w:val="28"/>
              </w:rPr>
              <w:t xml:space="preserve">угрожаемой зоной – территорию вокруг неблагополучного пункта, радиус которой составляет 20 км от его границ, включая территорию города Борзя, села </w:t>
            </w:r>
            <w:proofErr w:type="spellStart"/>
            <w:r w:rsidRPr="0003060F">
              <w:rPr>
                <w:bCs/>
                <w:spacing w:val="-4"/>
                <w:sz w:val="24"/>
                <w:szCs w:val="28"/>
              </w:rPr>
              <w:t>Чиндант</w:t>
            </w:r>
            <w:proofErr w:type="spellEnd"/>
            <w:r w:rsidRPr="0003060F">
              <w:rPr>
                <w:bCs/>
                <w:spacing w:val="-4"/>
                <w:sz w:val="24"/>
                <w:szCs w:val="28"/>
              </w:rPr>
              <w:t xml:space="preserve"> 2-й, поселка городского типа Шерловая Гора м</w:t>
            </w:r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униципального района «Борзинский район» Забайкальского края, </w:t>
            </w:r>
            <w:r w:rsidRPr="0003060F">
              <w:rPr>
                <w:bCs/>
                <w:spacing w:val="-4"/>
                <w:sz w:val="24"/>
                <w:szCs w:val="28"/>
              </w:rPr>
              <w:t xml:space="preserve"> поселка при станции Хада-Булак м</w:t>
            </w:r>
            <w:r w:rsidRPr="0003060F">
              <w:rPr>
                <w:rStyle w:val="apple-style-span"/>
                <w:sz w:val="24"/>
                <w:szCs w:val="28"/>
                <w:shd w:val="clear" w:color="auto" w:fill="FFFFFF"/>
              </w:rPr>
              <w:t>униципального района «Оловяннинский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«Борзинская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CF77F0" w:rsidRDefault="00CF77F0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lastRenderedPageBreak/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CF77F0" w:rsidRPr="0064600A" w:rsidRDefault="00CF77F0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CF77F0" w:rsidRPr="0064600A" w:rsidRDefault="00CF77F0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CF77F0" w:rsidRPr="0064600A" w:rsidRDefault="00CF77F0" w:rsidP="00DB3CEF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lastRenderedPageBreak/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72BAF" w:rsidRDefault="00CF77F0" w:rsidP="00DB3CEF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дезинфекционных барьеров на въезде (выезде) на территорию (с территории) эпизоотического очага; </w:t>
            </w:r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CF77F0" w:rsidRPr="00172BAF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CF77F0" w:rsidRPr="0064600A" w:rsidRDefault="00CF77F0" w:rsidP="00DB3CEF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A4774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F09DC" w:rsidRDefault="00CF77F0" w:rsidP="00DB3C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F09DC" w:rsidRDefault="00CF77F0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5864DA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</w:t>
            </w:r>
            <w:r w:rsidRPr="00376B95">
              <w:rPr>
                <w:spacing w:val="-4"/>
                <w:sz w:val="24"/>
              </w:rPr>
              <w:lastRenderedPageBreak/>
              <w:t>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а весь период </w:t>
            </w:r>
            <w:r w:rsidRPr="005864DA">
              <w:rPr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владельцы </w:t>
            </w:r>
            <w:r>
              <w:rPr>
                <w:sz w:val="24"/>
                <w:szCs w:val="24"/>
              </w:rPr>
              <w:lastRenderedPageBreak/>
              <w:t>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A4774E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72BAF" w:rsidRDefault="00CF77F0" w:rsidP="00DB3CE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A4774E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</w:pP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21278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CF77F0" w:rsidRPr="00121278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CF77F0" w:rsidRPr="00121278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</w:t>
            </w:r>
            <w:r w:rsidRPr="00121278">
              <w:rPr>
                <w:spacing w:val="-4"/>
                <w:sz w:val="24"/>
                <w:szCs w:val="24"/>
              </w:rPr>
              <w:lastRenderedPageBreak/>
              <w:t>целей убойные пункты);</w:t>
            </w:r>
          </w:p>
          <w:p w:rsidR="00CF77F0" w:rsidRPr="0014328D" w:rsidRDefault="00CF77F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CF77F0" w:rsidRPr="00121278" w:rsidRDefault="00CF77F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CF77F0" w:rsidRPr="00121278" w:rsidRDefault="00CF77F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CF77F0" w:rsidRPr="00121278" w:rsidRDefault="00CF77F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CF77F0" w:rsidRPr="00121278" w:rsidRDefault="00CF77F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CF77F0" w:rsidRPr="00121278" w:rsidRDefault="00CF77F0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8147CE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3E33AB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F09DC" w:rsidRDefault="00CF77F0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F09DC" w:rsidRDefault="00CF77F0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17F70" w:rsidRDefault="00CF77F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CF77F0" w:rsidRPr="00917F70" w:rsidRDefault="00CF77F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CF77F0" w:rsidRPr="00917F70" w:rsidRDefault="00CF77F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F77F0" w:rsidRDefault="00CF77F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17F70" w:rsidRDefault="00CF77F0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«Оловяннинская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CF77F0" w:rsidRPr="00917F70" w:rsidRDefault="00CF77F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17F70" w:rsidRDefault="00CF77F0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43440E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43440E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4328D" w:rsidRDefault="00CF77F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172BAF" w:rsidRDefault="00CF77F0" w:rsidP="00DB3CEF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t xml:space="preserve">через 30 дней 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CF77F0" w:rsidRPr="000B428C" w:rsidRDefault="00CF77F0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CF77F0" w:rsidRPr="000B428C" w:rsidRDefault="00CF77F0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F77F0" w:rsidRDefault="00CF77F0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917F70" w:rsidRDefault="00CF77F0" w:rsidP="00DB3CEF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0B428C">
              <w:rPr>
                <w:sz w:val="24"/>
                <w:szCs w:val="24"/>
              </w:rPr>
              <w:t xml:space="preserve"> СББЖ»,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77F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Default="00CF77F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0B428C" w:rsidRDefault="00CF77F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5864DA" w:rsidRDefault="00CF77F0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CF77F0" w:rsidRPr="000E4312" w:rsidRDefault="00CF77F0" w:rsidP="00CF77F0">
      <w:pPr>
        <w:jc w:val="center"/>
        <w:rPr>
          <w:szCs w:val="22"/>
          <w:lang w:eastAsia="en-US"/>
        </w:rPr>
      </w:pPr>
    </w:p>
    <w:p w:rsidR="00CF77F0" w:rsidRPr="000E4312" w:rsidRDefault="00CF77F0" w:rsidP="00CF77F0">
      <w:pPr>
        <w:jc w:val="center"/>
        <w:rPr>
          <w:szCs w:val="22"/>
          <w:lang w:eastAsia="en-US"/>
        </w:rPr>
      </w:pPr>
    </w:p>
    <w:p w:rsidR="00CF77F0" w:rsidRPr="000E4312" w:rsidRDefault="00CF77F0" w:rsidP="00CF77F0">
      <w:pPr>
        <w:jc w:val="center"/>
      </w:pPr>
      <w:r>
        <w:t>___________________</w:t>
      </w:r>
    </w:p>
    <w:p w:rsidR="00CF77F0" w:rsidRDefault="00CF77F0" w:rsidP="00CF77F0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56"/>
    <w:rsid w:val="0003060F"/>
    <w:rsid w:val="006C4656"/>
    <w:rsid w:val="008A0909"/>
    <w:rsid w:val="00CF77F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77F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F77F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7F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77F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F77F0"/>
    <w:pPr>
      <w:jc w:val="both"/>
    </w:pPr>
  </w:style>
  <w:style w:type="character" w:customStyle="1" w:styleId="a4">
    <w:name w:val="Основной текст Знак"/>
    <w:basedOn w:val="a0"/>
    <w:link w:val="a3"/>
    <w:rsid w:val="00CF7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F77F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F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77F0"/>
  </w:style>
  <w:style w:type="character" w:styleId="a6">
    <w:name w:val="Hyperlink"/>
    <w:basedOn w:val="a0"/>
    <w:uiPriority w:val="99"/>
    <w:semiHidden/>
    <w:unhideWhenUsed/>
    <w:rsid w:val="00CF77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77F0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CF77F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77F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F77F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7F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77F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F77F0"/>
    <w:pPr>
      <w:jc w:val="both"/>
    </w:pPr>
  </w:style>
  <w:style w:type="character" w:customStyle="1" w:styleId="a4">
    <w:name w:val="Основной текст Знак"/>
    <w:basedOn w:val="a0"/>
    <w:link w:val="a3"/>
    <w:rsid w:val="00CF7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F77F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F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77F0"/>
  </w:style>
  <w:style w:type="character" w:styleId="a6">
    <w:name w:val="Hyperlink"/>
    <w:basedOn w:val="a0"/>
    <w:uiPriority w:val="99"/>
    <w:semiHidden/>
    <w:unhideWhenUsed/>
    <w:rsid w:val="00CF77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77F0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CF77F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2021-09-21T08:00:00Z</cp:lastPrinted>
  <dcterms:created xsi:type="dcterms:W3CDTF">2021-09-21T07:47:00Z</dcterms:created>
  <dcterms:modified xsi:type="dcterms:W3CDTF">2021-09-21T08:00:00Z</dcterms:modified>
</cp:coreProperties>
</file>