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9C" w:rsidRPr="00891008" w:rsidRDefault="00F2719C" w:rsidP="00F2719C">
      <w:pPr>
        <w:jc w:val="center"/>
        <w:rPr>
          <w:sz w:val="6"/>
          <w:szCs w:val="6"/>
        </w:rPr>
      </w:pPr>
      <w:bookmarkStart w:id="0" w:name="_GoBack"/>
      <w:r w:rsidRPr="00891008">
        <w:rPr>
          <w:noProof/>
          <w:szCs w:val="28"/>
        </w:rPr>
        <w:drawing>
          <wp:inline distT="0" distB="0" distL="0" distR="0" wp14:anchorId="390EDB59" wp14:editId="0A01B46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9C" w:rsidRPr="00891008" w:rsidRDefault="00F2719C" w:rsidP="00F2719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F2719C" w:rsidRPr="00891008" w:rsidRDefault="00F2719C" w:rsidP="00F2719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2719C" w:rsidRPr="00891008" w:rsidRDefault="00F2719C" w:rsidP="00F2719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2719C" w:rsidRPr="00891008" w:rsidRDefault="00F2719C" w:rsidP="00F2719C">
      <w:pPr>
        <w:jc w:val="center"/>
        <w:rPr>
          <w:b/>
          <w:sz w:val="24"/>
        </w:rPr>
      </w:pPr>
    </w:p>
    <w:p w:rsidR="00F2719C" w:rsidRPr="00891008" w:rsidRDefault="00F2719C" w:rsidP="00F2719C">
      <w:pPr>
        <w:jc w:val="center"/>
        <w:rPr>
          <w:b/>
          <w:sz w:val="24"/>
        </w:rPr>
      </w:pPr>
    </w:p>
    <w:p w:rsidR="00F2719C" w:rsidRPr="00891008" w:rsidRDefault="00F2719C" w:rsidP="00F2719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F2719C" w:rsidRPr="00891008" w:rsidRDefault="00F2719C" w:rsidP="00F2719C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F2719C" w:rsidRPr="00891008" w:rsidRDefault="00F2719C" w:rsidP="00F2719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крестьянского (фермерского) хозяйства Родионова Сергея Ананьевича, расположенного на территории сельского поселения «Пограничненское» муниципального района «Приаргунский район» Забайкальского края</w:t>
      </w:r>
    </w:p>
    <w:p w:rsidR="00F2719C" w:rsidRPr="00891008" w:rsidRDefault="00F2719C" w:rsidP="00F271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2719C" w:rsidRPr="00891008" w:rsidRDefault="00F2719C" w:rsidP="00F2719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>«О ветеринарии», на основании экспертизы от 1</w:t>
      </w:r>
      <w:r>
        <w:rPr>
          <w:rFonts w:eastAsia="Calibri"/>
          <w:szCs w:val="28"/>
          <w:lang w:eastAsia="en-US"/>
        </w:rPr>
        <w:t>4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ЭМ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04</w:t>
      </w:r>
      <w:r w:rsidRPr="00891008">
        <w:rPr>
          <w:rFonts w:eastAsia="Calibri"/>
          <w:szCs w:val="28"/>
          <w:lang w:eastAsia="en-US"/>
        </w:rPr>
        <w:t>-2</w:t>
      </w:r>
      <w:r>
        <w:rPr>
          <w:rFonts w:eastAsia="Calibri"/>
          <w:szCs w:val="28"/>
          <w:lang w:eastAsia="en-US"/>
        </w:rPr>
        <w:t>3</w:t>
      </w:r>
      <w:r w:rsidRPr="0089100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95</w:t>
      </w:r>
      <w:r w:rsidRPr="00891008"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5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F2719C">
        <w:rPr>
          <w:bCs/>
          <w:szCs w:val="28"/>
        </w:rPr>
        <w:t>на территории крестьянского (фермерского) хозяйства Родионова Сергея Ананьевича, расположенного на территории сельского поселения «Пограничненское</w:t>
      </w:r>
      <w:proofErr w:type="gramEnd"/>
      <w:r w:rsidRPr="00F2719C">
        <w:rPr>
          <w:bCs/>
          <w:szCs w:val="28"/>
        </w:rPr>
        <w:t>» муниципального района «Приаргунский район» Забайкальского края,</w:t>
      </w:r>
      <w:r w:rsidRPr="0089100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F2719C" w:rsidRPr="00891008" w:rsidRDefault="00F2719C" w:rsidP="00F271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19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мая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1B22EA">
        <w:rPr>
          <w:bCs/>
          <w:szCs w:val="28"/>
        </w:rPr>
        <w:t xml:space="preserve">на территории крестьянского (фермерского) хозяйства </w:t>
      </w:r>
      <w:r w:rsidRPr="00E24E44">
        <w:rPr>
          <w:bCs/>
          <w:szCs w:val="28"/>
        </w:rPr>
        <w:t>Родионова Сергея Ананьевича, расположенного на территории сельского поселения «Пограничненское» муниципального района «Приаргунский район» Забайкальского края</w:t>
      </w:r>
      <w:r>
        <w:rPr>
          <w:bCs/>
          <w:szCs w:val="28"/>
        </w:rPr>
        <w:t xml:space="preserve"> на животноводческой стоянке «</w:t>
      </w:r>
      <w:proofErr w:type="spellStart"/>
      <w:r>
        <w:rPr>
          <w:bCs/>
          <w:szCs w:val="28"/>
        </w:rPr>
        <w:t>Загзо</w:t>
      </w:r>
      <w:proofErr w:type="spellEnd"/>
      <w:r>
        <w:rPr>
          <w:bCs/>
          <w:szCs w:val="28"/>
        </w:rPr>
        <w:t xml:space="preserve">» на земельном участке с кадастровым номером 75:17:250101:358 </w:t>
      </w:r>
      <w:r w:rsidRPr="00891008">
        <w:rPr>
          <w:bCs/>
          <w:szCs w:val="28"/>
        </w:rPr>
        <w:t>(далее – неблагополучный пункт), до принятия решения об отмене указанных мероприятий (до получения отрицательных результатов исследований у всех</w:t>
      </w:r>
      <w:proofErr w:type="gramEnd"/>
      <w:r w:rsidRPr="00891008">
        <w:rPr>
          <w:bCs/>
          <w:szCs w:val="28"/>
        </w:rPr>
        <w:t xml:space="preserve"> обследованных животных).   </w:t>
      </w:r>
    </w:p>
    <w:p w:rsidR="00F2719C" w:rsidRPr="00891008" w:rsidRDefault="00F2719C" w:rsidP="00F271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F2719C" w:rsidRPr="00891008" w:rsidRDefault="00F2719C" w:rsidP="00F271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F2719C" w:rsidRPr="00891008" w:rsidRDefault="00F2719C" w:rsidP="00F271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F2719C" w:rsidRPr="00891008" w:rsidRDefault="00F2719C" w:rsidP="00F271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F2719C" w:rsidRPr="00891008" w:rsidRDefault="00F2719C" w:rsidP="00F2719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F2719C" w:rsidRPr="00891008" w:rsidRDefault="00F2719C" w:rsidP="00F271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lastRenderedPageBreak/>
        <w:t>- скармливать невакцинированным животным корма, в которых обнаружены инфицированные лептоспирами грызуны.</w:t>
      </w:r>
    </w:p>
    <w:p w:rsidR="00F2719C" w:rsidRPr="00891008" w:rsidRDefault="00F2719C" w:rsidP="00F271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 w:rsidRPr="00F2719C">
        <w:rPr>
          <w:bCs/>
          <w:szCs w:val="28"/>
        </w:rPr>
        <w:t>Приаргунская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 w:rsidR="00D90C49" w:rsidRPr="00D90C49">
        <w:rPr>
          <w:bCs/>
          <w:szCs w:val="28"/>
        </w:rPr>
        <w:t>Приаргунск</w:t>
      </w:r>
      <w:r w:rsidR="00D90C49">
        <w:rPr>
          <w:bCs/>
          <w:szCs w:val="28"/>
        </w:rPr>
        <w:t>ого</w:t>
      </w:r>
      <w:r w:rsidRPr="00891008">
        <w:rPr>
          <w:bCs/>
          <w:szCs w:val="28"/>
        </w:rPr>
        <w:t xml:space="preserve"> района (</w:t>
      </w:r>
      <w:r>
        <w:rPr>
          <w:bCs/>
          <w:szCs w:val="28"/>
        </w:rPr>
        <w:t>Д.А.Гладких</w:t>
      </w:r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F2719C" w:rsidRPr="00891008" w:rsidRDefault="00F2719C" w:rsidP="00F271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2719C" w:rsidRPr="00891008" w:rsidRDefault="00F2719C" w:rsidP="00F271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F2719C" w:rsidRPr="00891008" w:rsidRDefault="00F2719C" w:rsidP="00F2719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F2719C" w:rsidRPr="00891008" w:rsidRDefault="00F2719C" w:rsidP="00F2719C">
      <w:pPr>
        <w:pStyle w:val="a4"/>
        <w:ind w:firstLine="720"/>
      </w:pPr>
    </w:p>
    <w:p w:rsidR="00F2719C" w:rsidRPr="00891008" w:rsidRDefault="00F2719C" w:rsidP="00F2719C">
      <w:pPr>
        <w:pStyle w:val="a4"/>
        <w:ind w:firstLine="720"/>
      </w:pPr>
    </w:p>
    <w:p w:rsidR="00F2719C" w:rsidRPr="00891008" w:rsidRDefault="00F2719C" w:rsidP="00F2719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2719C" w:rsidRPr="00891008" w:rsidTr="00A2659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719C" w:rsidRPr="00891008" w:rsidRDefault="00F2719C" w:rsidP="00A2659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719C" w:rsidRPr="00891008" w:rsidRDefault="00F2719C" w:rsidP="00A26594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К.М. Нагайбаев</w:t>
            </w:r>
          </w:p>
        </w:tc>
      </w:tr>
    </w:tbl>
    <w:p w:rsidR="00F2719C" w:rsidRPr="00891008" w:rsidRDefault="00F2719C" w:rsidP="00F2719C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Pr="00891008" w:rsidRDefault="00F2719C" w:rsidP="00F2719C">
      <w:pPr>
        <w:pStyle w:val="a4"/>
        <w:rPr>
          <w:bCs/>
        </w:rPr>
      </w:pPr>
    </w:p>
    <w:p w:rsidR="00F2719C" w:rsidRDefault="00F2719C" w:rsidP="00F2719C">
      <w:pPr>
        <w:pStyle w:val="a4"/>
        <w:rPr>
          <w:szCs w:val="28"/>
        </w:rPr>
      </w:pPr>
    </w:p>
    <w:p w:rsidR="00F2719C" w:rsidRPr="00891008" w:rsidRDefault="00F2719C" w:rsidP="00F2719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F2719C" w:rsidRPr="00891008" w:rsidTr="00A26594">
        <w:trPr>
          <w:trHeight w:val="1849"/>
        </w:trPr>
        <w:tc>
          <w:tcPr>
            <w:tcW w:w="4781" w:type="dxa"/>
          </w:tcPr>
          <w:p w:rsidR="00F2719C" w:rsidRDefault="00F2719C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F2719C" w:rsidRPr="00891008" w:rsidRDefault="00F2719C" w:rsidP="00A26594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F2719C" w:rsidRPr="00891008" w:rsidRDefault="00F2719C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F2719C" w:rsidRPr="00891008" w:rsidRDefault="00F2719C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F2719C" w:rsidRPr="00891008" w:rsidRDefault="00F2719C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F2719C" w:rsidRPr="00891008" w:rsidRDefault="00F2719C" w:rsidP="00F2719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2719C" w:rsidRPr="00891008" w:rsidRDefault="00F2719C" w:rsidP="00F2719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2719C" w:rsidRPr="00891008" w:rsidRDefault="00F2719C" w:rsidP="00F2719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2719C" w:rsidRPr="00891008" w:rsidRDefault="00F2719C" w:rsidP="00F2719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2719C" w:rsidRPr="00891008" w:rsidRDefault="00F2719C" w:rsidP="00F2719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2719C" w:rsidRPr="00891008" w:rsidRDefault="00F2719C" w:rsidP="00F2719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2719C" w:rsidRDefault="00F2719C" w:rsidP="00F2719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F2719C" w:rsidRPr="00891008" w:rsidRDefault="00F2719C" w:rsidP="00F2719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F2719C" w:rsidRPr="00891008" w:rsidRDefault="00F2719C" w:rsidP="00F2719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F2719C" w:rsidRDefault="00F2719C" w:rsidP="00F2719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F2719C" w:rsidRPr="000275B6" w:rsidRDefault="00F2719C" w:rsidP="00F2719C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F2719C" w:rsidRPr="00891008" w:rsidTr="00A26594">
        <w:tc>
          <w:tcPr>
            <w:tcW w:w="675" w:type="dxa"/>
          </w:tcPr>
          <w:p w:rsidR="00F2719C" w:rsidRPr="000275B6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F2719C" w:rsidRPr="000275B6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2719C" w:rsidRPr="000275B6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F2719C" w:rsidRPr="000275B6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2719C" w:rsidRPr="00891008" w:rsidTr="00A26594">
        <w:tc>
          <w:tcPr>
            <w:tcW w:w="675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2719C" w:rsidRPr="000275B6" w:rsidRDefault="00F2719C" w:rsidP="00F2719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Приаргунская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r w:rsidR="00D90C49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Приаргунская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</w:t>
            </w:r>
            <w:r w:rsidR="00D90C49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</w:t>
            </w:r>
            <w:r w:rsidR="00D90C49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r w:rsidR="00D90C49">
              <w:rPr>
                <w:rFonts w:ascii="Times New Roman" w:hAnsi="Times New Roman" w:cs="Times New Roman"/>
                <w:bCs/>
                <w:sz w:val="24"/>
                <w:szCs w:val="24"/>
              </w:rPr>
              <w:t>Д.А.Гладких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</w:t>
            </w:r>
            <w:r w:rsidR="00D90C49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19C" w:rsidRPr="00891008" w:rsidRDefault="00F2719C" w:rsidP="00AD7E8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крестьянского (фермерского) хозяйства </w:t>
            </w:r>
            <w:r w:rsidR="00D90C4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D7E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0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дионов Сергей Ананьевич 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7E8C">
              <w:rPr>
                <w:rFonts w:ascii="Times New Roman" w:hAnsi="Times New Roman" w:cs="Times New Roman"/>
                <w:sz w:val="24"/>
                <w:szCs w:val="24"/>
              </w:rPr>
              <w:t>Родионов С.А.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719C" w:rsidRPr="00891008" w:rsidTr="00A26594">
        <w:tc>
          <w:tcPr>
            <w:tcW w:w="675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AD7E8C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E8C">
              <w:rPr>
                <w:rFonts w:ascii="Times New Roman" w:hAnsi="Times New Roman" w:cs="Times New Roman"/>
                <w:sz w:val="24"/>
                <w:szCs w:val="24"/>
              </w:rPr>
              <w:t>Родионов С.А.</w:t>
            </w:r>
          </w:p>
        </w:tc>
      </w:tr>
      <w:tr w:rsidR="00F2719C" w:rsidRPr="00891008" w:rsidTr="00A26594">
        <w:tc>
          <w:tcPr>
            <w:tcW w:w="675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F2719C" w:rsidRPr="00891008" w:rsidRDefault="00F2719C" w:rsidP="00AD7E8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AD7E8C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E8C" w:rsidRPr="00756FF0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учреждение «Агинская окружная ветеринарная лаборатория»</w:t>
            </w:r>
          </w:p>
        </w:tc>
      </w:tr>
      <w:tr w:rsidR="00F2719C" w:rsidRPr="00891008" w:rsidTr="00A26594">
        <w:tc>
          <w:tcPr>
            <w:tcW w:w="675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E8C">
              <w:rPr>
                <w:rFonts w:ascii="Times New Roman" w:hAnsi="Times New Roman" w:cs="Times New Roman"/>
                <w:sz w:val="24"/>
                <w:szCs w:val="24"/>
              </w:rPr>
              <w:t>Родионов С.А.</w:t>
            </w:r>
          </w:p>
        </w:tc>
      </w:tr>
      <w:tr w:rsidR="00F2719C" w:rsidRPr="00891008" w:rsidTr="00A26594">
        <w:tc>
          <w:tcPr>
            <w:tcW w:w="675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AD7E8C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E8C">
              <w:rPr>
                <w:rFonts w:ascii="Times New Roman" w:hAnsi="Times New Roman" w:cs="Times New Roman"/>
                <w:sz w:val="24"/>
                <w:szCs w:val="24"/>
              </w:rPr>
              <w:t>Родионов С.А.</w:t>
            </w:r>
          </w:p>
        </w:tc>
      </w:tr>
      <w:tr w:rsidR="00F2719C" w:rsidRPr="00891008" w:rsidTr="00A26594">
        <w:tc>
          <w:tcPr>
            <w:tcW w:w="675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F2719C" w:rsidRPr="00891008" w:rsidRDefault="00F2719C" w:rsidP="00A26594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AD7E8C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E8C">
              <w:rPr>
                <w:rFonts w:ascii="Times New Roman" w:hAnsi="Times New Roman" w:cs="Times New Roman"/>
                <w:sz w:val="24"/>
                <w:szCs w:val="24"/>
              </w:rPr>
              <w:t>Родионов С.А.</w:t>
            </w:r>
          </w:p>
        </w:tc>
      </w:tr>
      <w:tr w:rsidR="00F2719C" w:rsidRPr="00891008" w:rsidTr="00A26594">
        <w:tc>
          <w:tcPr>
            <w:tcW w:w="675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AD7E8C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9C" w:rsidRPr="00891008" w:rsidTr="00A26594">
        <w:tc>
          <w:tcPr>
            <w:tcW w:w="675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F2719C" w:rsidRPr="00891008" w:rsidRDefault="00F2719C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AD7E8C">
              <w:rPr>
                <w:rFonts w:ascii="Times New Roman" w:hAnsi="Times New Roman" w:cs="Times New Roman"/>
                <w:bCs/>
                <w:sz w:val="24"/>
                <w:szCs w:val="24"/>
              </w:rPr>
              <w:t>Приаргунская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</w:tbl>
    <w:p w:rsidR="00F2719C" w:rsidRPr="00891008" w:rsidRDefault="00F2719C" w:rsidP="00F2719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F2719C" w:rsidRPr="00891008" w:rsidRDefault="00F2719C" w:rsidP="00F2719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F2719C" w:rsidRPr="00891008" w:rsidRDefault="00F2719C" w:rsidP="00F2719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F2719C" w:rsidRDefault="00F2719C" w:rsidP="00F2719C"/>
    <w:bookmarkEnd w:id="0"/>
    <w:p w:rsidR="00D56333" w:rsidRDefault="009C77B2"/>
    <w:sectPr w:rsidR="00D56333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AB"/>
    <w:rsid w:val="000751D4"/>
    <w:rsid w:val="00370AAB"/>
    <w:rsid w:val="00864086"/>
    <w:rsid w:val="009C77B2"/>
    <w:rsid w:val="00AB5A34"/>
    <w:rsid w:val="00AD7E8C"/>
    <w:rsid w:val="00D90C49"/>
    <w:rsid w:val="00F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C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719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2719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19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719C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F271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2719C"/>
  </w:style>
  <w:style w:type="character" w:styleId="a3">
    <w:name w:val="Hyperlink"/>
    <w:basedOn w:val="a0"/>
    <w:uiPriority w:val="99"/>
    <w:semiHidden/>
    <w:unhideWhenUsed/>
    <w:rsid w:val="00F2719C"/>
    <w:rPr>
      <w:color w:val="0000FF"/>
      <w:u w:val="single"/>
    </w:rPr>
  </w:style>
  <w:style w:type="paragraph" w:styleId="a4">
    <w:name w:val="Body Text"/>
    <w:basedOn w:val="a"/>
    <w:link w:val="a5"/>
    <w:rsid w:val="00F2719C"/>
    <w:pPr>
      <w:jc w:val="both"/>
    </w:pPr>
  </w:style>
  <w:style w:type="character" w:customStyle="1" w:styleId="a5">
    <w:name w:val="Основной текст Знак"/>
    <w:basedOn w:val="a0"/>
    <w:link w:val="a4"/>
    <w:rsid w:val="00F2719C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F2719C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7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C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719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2719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19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719C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F271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2719C"/>
  </w:style>
  <w:style w:type="character" w:styleId="a3">
    <w:name w:val="Hyperlink"/>
    <w:basedOn w:val="a0"/>
    <w:uiPriority w:val="99"/>
    <w:semiHidden/>
    <w:unhideWhenUsed/>
    <w:rsid w:val="00F2719C"/>
    <w:rPr>
      <w:color w:val="0000FF"/>
      <w:u w:val="single"/>
    </w:rPr>
  </w:style>
  <w:style w:type="paragraph" w:styleId="a4">
    <w:name w:val="Body Text"/>
    <w:basedOn w:val="a"/>
    <w:link w:val="a5"/>
    <w:rsid w:val="00F2719C"/>
    <w:pPr>
      <w:jc w:val="both"/>
    </w:pPr>
  </w:style>
  <w:style w:type="character" w:customStyle="1" w:styleId="a5">
    <w:name w:val="Основной текст Знак"/>
    <w:basedOn w:val="a0"/>
    <w:link w:val="a4"/>
    <w:rsid w:val="00F2719C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F2719C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71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2020-05-19T03:27:00Z</cp:lastPrinted>
  <dcterms:created xsi:type="dcterms:W3CDTF">2020-05-19T02:45:00Z</dcterms:created>
  <dcterms:modified xsi:type="dcterms:W3CDTF">2020-05-19T03:58:00Z</dcterms:modified>
</cp:coreProperties>
</file>