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A02837">
        <w:rPr>
          <w:b/>
          <w:bCs/>
          <w:szCs w:val="28"/>
        </w:rPr>
        <w:t xml:space="preserve"> хозяйства</w:t>
      </w:r>
      <w:r w:rsidR="008E76AE">
        <w:rPr>
          <w:b/>
          <w:bCs/>
          <w:szCs w:val="28"/>
        </w:rPr>
        <w:t xml:space="preserve"> </w:t>
      </w:r>
      <w:r w:rsidR="00A02837">
        <w:rPr>
          <w:b/>
          <w:bCs/>
          <w:szCs w:val="28"/>
        </w:rPr>
        <w:t>Васильевой Светланы Ивановны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A02837">
        <w:rPr>
          <w:rFonts w:eastAsia="Calibri"/>
          <w:szCs w:val="28"/>
          <w:lang w:eastAsia="en-US"/>
        </w:rPr>
        <w:t>12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r w:rsidR="00A02837" w:rsidRPr="00A02837">
        <w:rPr>
          <w:bCs/>
          <w:szCs w:val="28"/>
        </w:rPr>
        <w:t>Васильевой Светланы Ивановн</w:t>
      </w:r>
      <w:r w:rsidR="00A02837">
        <w:rPr>
          <w:bCs/>
          <w:szCs w:val="28"/>
        </w:rPr>
        <w:t>ы</w:t>
      </w:r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r w:rsidR="00A02837" w:rsidRPr="00A02837">
        <w:rPr>
          <w:bCs/>
          <w:szCs w:val="28"/>
        </w:rPr>
        <w:t>Васильевой Светланы Ивановн</w:t>
      </w:r>
      <w:r w:rsidR="00A02837">
        <w:rPr>
          <w:bCs/>
          <w:szCs w:val="28"/>
        </w:rPr>
        <w:t>ы</w:t>
      </w:r>
      <w:r w:rsidR="00047B55">
        <w:rPr>
          <w:bCs/>
          <w:szCs w:val="28"/>
        </w:rPr>
        <w:t>,</w:t>
      </w:r>
      <w:bookmarkStart w:id="0" w:name="_GoBack"/>
      <w:bookmarkEnd w:id="0"/>
      <w:r w:rsidR="004A2C5B">
        <w:rPr>
          <w:bCs/>
          <w:szCs w:val="28"/>
        </w:rPr>
        <w:t xml:space="preserve"> </w:t>
      </w:r>
      <w:r w:rsidR="00DD5B97" w:rsidRPr="00DD5B97">
        <w:rPr>
          <w:bCs/>
          <w:szCs w:val="28"/>
        </w:rPr>
        <w:t xml:space="preserve">расположенного по адресу: Забайкальский край, </w:t>
      </w:r>
      <w:r w:rsidR="00A02837">
        <w:rPr>
          <w:bCs/>
          <w:szCs w:val="28"/>
        </w:rPr>
        <w:t>Петровск-Забайкальский</w:t>
      </w:r>
      <w:r w:rsidR="00DD5B97" w:rsidRPr="00DD5B97">
        <w:rPr>
          <w:bCs/>
          <w:szCs w:val="28"/>
        </w:rPr>
        <w:t xml:space="preserve"> район,</w:t>
      </w:r>
      <w:r w:rsidR="00A02837">
        <w:rPr>
          <w:bCs/>
          <w:szCs w:val="28"/>
        </w:rPr>
        <w:t xml:space="preserve"> село Харауз,</w:t>
      </w:r>
      <w:r w:rsidR="00DD5B97" w:rsidRPr="00DD5B97">
        <w:rPr>
          <w:bCs/>
          <w:szCs w:val="28"/>
        </w:rPr>
        <w:t xml:space="preserve"> улица </w:t>
      </w:r>
      <w:r w:rsidR="00A02837">
        <w:rPr>
          <w:bCs/>
          <w:szCs w:val="28"/>
        </w:rPr>
        <w:t>Заречная</w:t>
      </w:r>
      <w:r w:rsidR="00DD5B97" w:rsidRPr="00DD5B97">
        <w:rPr>
          <w:bCs/>
          <w:szCs w:val="28"/>
        </w:rPr>
        <w:t xml:space="preserve">, дом </w:t>
      </w:r>
      <w:r w:rsidR="00A02837">
        <w:rPr>
          <w:bCs/>
          <w:szCs w:val="28"/>
        </w:rPr>
        <w:t>17</w:t>
      </w:r>
      <w:r w:rsidR="00AA4DDB">
        <w:rPr>
          <w:bCs/>
          <w:szCs w:val="28"/>
        </w:rPr>
        <w:t xml:space="preserve">, </w:t>
      </w:r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A02837">
        <w:rPr>
          <w:bCs/>
          <w:szCs w:val="28"/>
        </w:rPr>
        <w:t>И.о</w:t>
      </w:r>
      <w:proofErr w:type="spellEnd"/>
      <w:r w:rsidR="00A02837">
        <w:rPr>
          <w:bCs/>
          <w:szCs w:val="28"/>
        </w:rPr>
        <w:t>. н</w:t>
      </w:r>
      <w:r w:rsidRPr="00891008">
        <w:rPr>
          <w:bCs/>
          <w:szCs w:val="28"/>
        </w:rPr>
        <w:t>ачальник</w:t>
      </w:r>
      <w:r w:rsidR="00AA4DDB"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gramStart"/>
      <w:r w:rsidR="00A02837">
        <w:rPr>
          <w:bCs/>
          <w:szCs w:val="28"/>
        </w:rPr>
        <w:t>Петровск-Забайкальск</w:t>
      </w:r>
      <w:r w:rsidR="00A02837">
        <w:rPr>
          <w:bCs/>
          <w:szCs w:val="28"/>
        </w:rPr>
        <w:t>ая</w:t>
      </w:r>
      <w:proofErr w:type="gramEnd"/>
      <w:r w:rsidR="00A02837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станция по борьбе с болезнями животных», </w:t>
      </w:r>
      <w:r w:rsidR="00047B55">
        <w:rPr>
          <w:bCs/>
          <w:szCs w:val="28"/>
        </w:rPr>
        <w:t xml:space="preserve">              </w:t>
      </w:r>
      <w:proofErr w:type="spellStart"/>
      <w:r w:rsidR="00047B55">
        <w:rPr>
          <w:bCs/>
          <w:szCs w:val="28"/>
        </w:rPr>
        <w:t>и.о</w:t>
      </w:r>
      <w:proofErr w:type="spellEnd"/>
      <w:r w:rsidR="00047B55">
        <w:rPr>
          <w:bCs/>
          <w:szCs w:val="28"/>
        </w:rPr>
        <w:t xml:space="preserve">. </w:t>
      </w:r>
      <w:r w:rsidRPr="00891008">
        <w:rPr>
          <w:bCs/>
          <w:szCs w:val="28"/>
        </w:rPr>
        <w:t>главно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047B55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 w:rsidR="00A02837">
        <w:rPr>
          <w:bCs/>
          <w:szCs w:val="28"/>
        </w:rPr>
        <w:t>Петровск-Забайкальск</w:t>
      </w:r>
      <w:r w:rsidR="00A02837">
        <w:rPr>
          <w:bCs/>
          <w:szCs w:val="28"/>
        </w:rPr>
        <w:t>ого</w:t>
      </w:r>
      <w:r w:rsidR="00AA4DDB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района </w:t>
      </w:r>
      <w:r w:rsidR="00047B55">
        <w:rPr>
          <w:bCs/>
          <w:szCs w:val="28"/>
        </w:rPr>
        <w:t xml:space="preserve">               </w:t>
      </w:r>
      <w:r w:rsidRPr="00891008">
        <w:rPr>
          <w:bCs/>
          <w:szCs w:val="28"/>
        </w:rPr>
        <w:t>(</w:t>
      </w:r>
      <w:r w:rsidR="00A02837">
        <w:rPr>
          <w:bCs/>
          <w:szCs w:val="28"/>
        </w:rPr>
        <w:t xml:space="preserve">А.В. </w:t>
      </w:r>
      <w:proofErr w:type="spellStart"/>
      <w:r w:rsidR="00A02837">
        <w:rPr>
          <w:bCs/>
          <w:szCs w:val="28"/>
        </w:rPr>
        <w:t>Штыкиной</w:t>
      </w:r>
      <w:proofErr w:type="spellEnd"/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02837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gramStart"/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="00047B55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="00047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главно</w:t>
            </w:r>
            <w:r w:rsidR="00047B5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ветеринарно</w:t>
            </w:r>
            <w:r w:rsidR="00047B5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  <w:r w:rsidR="00047B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Петровск-Забайкальского района (А.В. </w:t>
            </w:r>
            <w:proofErr w:type="spellStart"/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Штыкин</w:t>
            </w:r>
            <w:r w:rsidR="00047B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A4DDB" w:rsidRPr="00AA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Петровск-Забайкальская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A02837" w:rsidP="00A0283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A02837" w:rsidRPr="00A0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47B55"/>
    <w:rsid w:val="0006013B"/>
    <w:rsid w:val="000751D4"/>
    <w:rsid w:val="00124345"/>
    <w:rsid w:val="001C1CCE"/>
    <w:rsid w:val="001E1F4B"/>
    <w:rsid w:val="00232F13"/>
    <w:rsid w:val="002A70D7"/>
    <w:rsid w:val="00454E4A"/>
    <w:rsid w:val="004A2C5B"/>
    <w:rsid w:val="005F4F91"/>
    <w:rsid w:val="007C3E41"/>
    <w:rsid w:val="00864086"/>
    <w:rsid w:val="008E76AE"/>
    <w:rsid w:val="008F38B9"/>
    <w:rsid w:val="00917E96"/>
    <w:rsid w:val="00A02837"/>
    <w:rsid w:val="00A564D3"/>
    <w:rsid w:val="00AA4DDB"/>
    <w:rsid w:val="00AB5A34"/>
    <w:rsid w:val="00B560B0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3</cp:revision>
  <cp:lastPrinted>2020-07-10T06:41:00Z</cp:lastPrinted>
  <dcterms:created xsi:type="dcterms:W3CDTF">2020-07-10T06:32:00Z</dcterms:created>
  <dcterms:modified xsi:type="dcterms:W3CDTF">2020-07-10T06:51:00Z</dcterms:modified>
</cp:coreProperties>
</file>