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СВОДКА ПРЕДЛОЖЕНИЙ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поступивших в рамках общественного обсуждения заключения государственной историко-культурной экспертизы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«А</w:t>
      </w:r>
      <w:r>
        <w:rPr>
          <w:rFonts w:ascii="Times New Roman" w:hAnsi="Times New Roman"/>
          <w:sz w:val="28"/>
          <w:szCs w:val="28"/>
          <w:lang w:eastAsia="ru-RU"/>
        </w:rPr>
        <w:t xml:space="preserve">кт № 05-10/25 от 23.10.2025 г. государственной историко-культурной экспертизы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документации, за исключением научных отчетов о выполненных археологических </w:t>
      </w:r>
      <w:r/>
      <w:r>
        <w:rPr>
          <w:rFonts w:ascii="Times New Roman" w:hAnsi="Times New Roman"/>
          <w:sz w:val="28"/>
          <w:szCs w:val="28"/>
          <w:lang w:eastAsia="ru-RU"/>
        </w:rPr>
        <w:t xml:space="preserve">полевых работах, содержащей результаты исследований, в соответствии с которыми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определяется наличие или отсутствие объектов, обладающих признаками объекта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культурного наследия, на земельных участках, подлежащих воздействию земляных,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строительных, мелиоративных, хозяйственных работ, указанных в статье 30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25.06.2002 № 73-ФЗ работ по использованию лесов и иных работ </w:t>
      </w:r>
      <w:r/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по объекту «Отвальное хозяйство Буртуйского месторождения бурого угля», «Отвальное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хозяйство участков «Западный», «Северный», «Южный», «Восточный-1» Буртуйского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месторождения бурого угля» в Хилокском районе Забайкальского края</w:t>
      </w:r>
      <w:r/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eastAsia="TimesNewRomanPSMT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одготовленный  аттестованным экспертом по проведению государственной историко-культурной экспертизы 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  <w:t xml:space="preserve">Постновым Александром Вадимовичем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="TimesNew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(приказ Министерства культуры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18</w:t>
      </w:r>
      <w:r>
        <w:rPr>
          <w:rFonts w:ascii="Times New Roman" w:hAnsi="Times New Roman" w:eastAsia="TimesNewRoman"/>
          <w:sz w:val="28"/>
          <w:szCs w:val="28"/>
        </w:rPr>
        <w:t xml:space="preserve">.0</w:t>
      </w:r>
      <w:r>
        <w:rPr>
          <w:rFonts w:ascii="Times New Roman" w:hAnsi="Times New Roman" w:eastAsia="TimesNewRoman"/>
          <w:sz w:val="28"/>
          <w:szCs w:val="28"/>
        </w:rPr>
        <w:t xml:space="preserve">9</w:t>
      </w:r>
      <w:r>
        <w:rPr>
          <w:rFonts w:ascii="Times New Roman" w:hAnsi="Times New Roman" w:eastAsia="TimesNewRoman"/>
          <w:sz w:val="28"/>
          <w:szCs w:val="28"/>
        </w:rPr>
        <w:t xml:space="preserve">.202</w:t>
      </w:r>
      <w:r>
        <w:rPr>
          <w:rFonts w:ascii="Times New Roman" w:hAnsi="Times New Roman" w:eastAsia="TimesNewRoman"/>
          <w:sz w:val="28"/>
          <w:szCs w:val="28"/>
        </w:rPr>
        <w:t xml:space="preserve">5</w:t>
      </w:r>
      <w:r>
        <w:rPr>
          <w:rFonts w:ascii="Times New Roman" w:hAnsi="Times New Roman" w:eastAsia="TimesNewRoman"/>
          <w:sz w:val="28"/>
          <w:szCs w:val="28"/>
        </w:rPr>
        <w:t xml:space="preserve"> г. №1674</w:t>
      </w:r>
      <w:r>
        <w:rPr>
          <w:rFonts w:ascii="Times New Roman" w:hAnsi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опубликованный в сети «Интернет» 31.10.2025 г.</w:t>
      </w:r>
      <w:r/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7"/>
        <w:gridCol w:w="4820"/>
        <w:gridCol w:w="3827"/>
      </w:tblGrid>
      <w:tr>
        <w:tblPrEx/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Предложения, поступившие в рамках общественного обсуждения проекта нормативного правового акта</w:t>
            </w:r>
            <w:r>
              <w:rPr>
                <w:rStyle w:val="875"/>
                <w:rFonts w:ascii="Times New Roman" w:hAnsi="Times New Roman"/>
                <w:sz w:val="24"/>
                <w:szCs w:val="24"/>
              </w:rPr>
              <w:endnoteReference w:id="2"/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службы по охране объектов кульурного наследия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Шурф № 160 не попадает в границу земельного отвода, согласно координате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указанной в Таблице 2 Акта, шурф находится в 18 метрах от отвода.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устранено.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Шурф № 161 не попадает в границу земельного отвода, согласно координате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указанной в Таблице 2 Акта, шурф находится в 4 метрах от отвода.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Шурф № 162 не попадает в границу земельного отвода, согласно координате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указанной в Таблице 2 Акта, шурф находится в 12 метрах от отвода.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предыдущем Акте координата шурфа № 162 отсутствовала.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В новом варианте Акта обнаружено, что иллюстрации №№ 4-5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неудовлетворительного качества. На указанных иллюстрациях точки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фотофиксации неразличимы, хотя в предыдущем акте эти иллюстрации были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различимы.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Данный факт не позволяет подтвердить внесенные изменения в Акт.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На Илл. 5 Акта «Спутниковый снимок местности с указанием точек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фотофиксации. Дата съёмки 19.07.2024 г.» указаны точки фотофиксации (Т.Ф.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4, 7, 8), которые, не соответствуют фотоиллюстрациям. Поскольку на Илл. 19,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26, 31 Акта «Вид с юга» отсутствует склон юго-западного отрога горы.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При этом расстояние согласно координатам до подошвы склона, составляет: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 точки 4 – 160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 точки 8 – 110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 точки 7 – 300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Кроме того, на спутниковом снимке Илл. 5 Акта и координате точки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фотофиксации (Т.Ф. 4) расстояние от указанной точки до отвала составляет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более 100 м, хотя на Илл. 19-20 Акта расстояние до отвала не больше 10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При рассмотрении акта нами было установлено, что земельный отвод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обследован не полностью. Данный вывод был сделан по следующим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основаниям.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1) На участке, площадью 6,58 га в районе угловых поворотных точек 19 и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отсутствуют шурфы.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Показанные точки фотофиксации на Илл. 19 Т.Ф. 4, Илл. 26 Т.Ф.7, Илл.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31 Т.Ф.8 Акта, космический снимок на Илл. 5 Акта, информация в тексте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Акта, и карта-схема не обосновывают бесперспективность и причину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отсутствия шурфов. Напротив, данный участок находится на пологом склоне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южной экспозицией, вдоль склона протекает р. Буртуй, что делает 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перспективным в плане археологических обследований (см. Илл.8-9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приложения). Фотографии видов с юга на точках 4, 7-8 выполнены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большом удалении от склона, также и не обосновывают бесперспективность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данного участка для щурфовки.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2) На участке, площадью 3,94 га в районе угловых поворотных точек 10 и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отсутствуют шурфы.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Точка фотофиксации на Илл. 38.Т.Ф. 12 Акта, космический снимок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(Илл. 5 Акта), карта-схема не подтверждают бесперспективность и причину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отсутствия шурфов. Бесперспективность шурфовки также не обоснована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текст Акта.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В Акте представлена всего одна фотография (Илл. 38 с точкой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фотофиксации Т.Ф. 12) с видом с запада на восток. Фотографии на земельный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участок в районе поворотных точек № 10 и № 11 отсутствуют. Что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обосновывают бесперспективность для шурфовки юго-западной части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(см Илл. 8, 10 приложения).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3) На участке, площадью 7,57 га в районе угловых поворотных точек 8 и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отсутствуют шурфы.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Точки фотофиксации на Илл. 16 Т.Ф. 2, Илл. 42, Т.Ф. 15, Илл. 43-44, Т.Ф.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16 Акта, космический снимок (Илл. 5 Акта), карта-схема не подтверждают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бесперспективность и причину отсутствия шурфов. Бесперспективность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шурфовки, также не обосновано в текст Акта.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Ближайшие точки к границе земельного участка не отражают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бесперспективность участка: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- на Илл.16 Т.Ф. 2 Акта направлена с востока на запад;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- на Илл.42 Т.Ф. 15 Акта направлена с юга на север;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- на Илл. 43-44 Т.Ф. 16 Акта направлены с запада на восток и с востока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запад.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В то время, как территория находится южнее и юго-восточнее указанных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color w:val="34343c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  <w:t xml:space="preserve">точек (см. Илл. 8, 11 приложения).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highlight w:val="white"/>
              </w:rPr>
              <w:t xml:space="preserve">Таким образом, на данных участках не проводилась шуровка,</w:t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И.о. руководителя    </w:t>
      </w:r>
      <w:r>
        <w:rPr>
          <w:rFonts w:ascii="Times New Roman" w:hAnsi="Times New Roman"/>
          <w:sz w:val="28"/>
          <w:szCs w:val="28"/>
        </w:rPr>
        <w:tab/>
        <w:t xml:space="preserve">                    __________             </w:t>
      </w:r>
      <w:r>
        <w:rPr>
          <w:rFonts w:ascii="Times New Roman" w:hAnsi="Times New Roman"/>
          <w:sz w:val="24"/>
          <w:szCs w:val="24"/>
          <w:u w:val="single"/>
        </w:rPr>
        <w:t xml:space="preserve">В.В. Нестеренко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8"/>
          <w:szCs w:val="18"/>
        </w:rPr>
        <w:t xml:space="preserve">(должность)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(подпись)</w:t>
      </w:r>
      <w:r>
        <w:rPr>
          <w:rFonts w:ascii="Times New Roman" w:hAnsi="Times New Roman"/>
          <w:sz w:val="18"/>
          <w:szCs w:val="18"/>
        </w:rPr>
        <w:tab/>
        <w:t xml:space="preserve">                  (фамилия, имя, отчество)</w:t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11</w:t>
      </w:r>
      <w:r>
        <w:rPr>
          <w:rFonts w:ascii="Times New Roman" w:hAnsi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/>
          <w:sz w:val="24"/>
          <w:szCs w:val="24"/>
          <w:u w:val="single"/>
        </w:rPr>
        <w:t xml:space="preserve">11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  <w:u w:val="single"/>
        </w:rPr>
        <w:t xml:space="preserve">.2025 года</w:t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jc w:val="both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8"/>
          <w:szCs w:val="18"/>
        </w:rPr>
        <w:t xml:space="preserve">(дата)</w:t>
      </w:r>
      <w:r>
        <w:rPr>
          <w:rFonts w:ascii="Times New Roman" w:hAnsi="Times New Roman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pStyle w:val="873"/>
        <w:rPr>
          <w:rFonts w:ascii="Times New Roman" w:hAnsi="Times New Roman"/>
        </w:rPr>
      </w:pPr>
      <w:r>
        <w:rPr>
          <w:rStyle w:val="875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В случае, если в ходе общественного обсуждения заключения государственной историко-культурной экспертизы предложения не поступали, указывается «Предложения отсутствуют»</w:t>
      </w:r>
      <w:r>
        <w:rPr>
          <w:rFonts w:ascii="Times New Roman" w:hAnsi="Times New Roman"/>
        </w:rPr>
      </w:r>
    </w:p>
    <w:p>
      <w:pPr>
        <w:pStyle w:val="873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3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NewRomanPSMT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rPr>
      <w:rFonts w:ascii="Calibri" w:hAnsi="Calibri" w:eastAsia="Calibri" w:cs="Times New Roman"/>
    </w:rPr>
  </w:style>
  <w:style w:type="paragraph" w:styleId="680">
    <w:name w:val="Heading 1"/>
    <w:basedOn w:val="679"/>
    <w:next w:val="679"/>
    <w:link w:val="70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89"/>
    <w:uiPriority w:val="99"/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79"/>
    <w:uiPriority w:val="34"/>
    <w:qFormat/>
    <w:pPr>
      <w:contextualSpacing/>
      <w:ind w:left="720"/>
    </w:pPr>
  </w:style>
  <w:style w:type="paragraph" w:styleId="718">
    <w:name w:val="Title"/>
    <w:basedOn w:val="679"/>
    <w:next w:val="679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Название Знак"/>
    <w:basedOn w:val="689"/>
    <w:link w:val="718"/>
    <w:uiPriority w:val="10"/>
    <w:rPr>
      <w:sz w:val="48"/>
      <w:szCs w:val="48"/>
    </w:rPr>
  </w:style>
  <w:style w:type="paragraph" w:styleId="720">
    <w:name w:val="Subtitle"/>
    <w:basedOn w:val="679"/>
    <w:next w:val="679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689"/>
    <w:link w:val="720"/>
    <w:uiPriority w:val="11"/>
    <w:rPr>
      <w:sz w:val="24"/>
      <w:szCs w:val="24"/>
    </w:rPr>
  </w:style>
  <w:style w:type="paragraph" w:styleId="722">
    <w:name w:val="Quote"/>
    <w:basedOn w:val="679"/>
    <w:next w:val="679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9"/>
    <w:next w:val="679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 w:customStyle="1">
    <w:name w:val="Верхний колонтитул Знак"/>
    <w:basedOn w:val="689"/>
    <w:link w:val="726"/>
    <w:uiPriority w:val="99"/>
  </w:style>
  <w:style w:type="paragraph" w:styleId="728">
    <w:name w:val="Footer"/>
    <w:basedOn w:val="6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basedOn w:val="689"/>
    <w:uiPriority w:val="99"/>
  </w:style>
  <w:style w:type="paragraph" w:styleId="730">
    <w:name w:val="Caption"/>
    <w:basedOn w:val="679"/>
    <w:next w:val="67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 w:customStyle="1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 w:customStyle="1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8">
    <w:name w:val="footnote text"/>
    <w:basedOn w:val="679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89"/>
    <w:uiPriority w:val="99"/>
    <w:unhideWhenUsed/>
    <w:rPr>
      <w:vertAlign w:val="superscript"/>
    </w:rPr>
  </w:style>
  <w:style w:type="character" w:styleId="861" w:customStyle="1">
    <w:name w:val="Endnote Text Char"/>
    <w:uiPriority w:val="99"/>
    <w:rPr>
      <w:sz w:val="20"/>
    </w:rPr>
  </w:style>
  <w:style w:type="paragraph" w:styleId="862">
    <w:name w:val="toc 1"/>
    <w:basedOn w:val="679"/>
    <w:next w:val="679"/>
    <w:uiPriority w:val="39"/>
    <w:unhideWhenUsed/>
    <w:pPr>
      <w:spacing w:after="57"/>
    </w:pPr>
  </w:style>
  <w:style w:type="paragraph" w:styleId="86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9"/>
    <w:next w:val="679"/>
    <w:uiPriority w:val="99"/>
    <w:unhideWhenUsed/>
    <w:pPr>
      <w:spacing w:after="0"/>
    </w:pPr>
  </w:style>
  <w:style w:type="paragraph" w:styleId="873">
    <w:name w:val="endnote text"/>
    <w:basedOn w:val="679"/>
    <w:link w:val="87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4" w:customStyle="1">
    <w:name w:val="Текст концевой сноски Знак"/>
    <w:basedOn w:val="689"/>
    <w:link w:val="873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875">
    <w:name w:val="endnote reference"/>
    <w:basedOn w:val="689"/>
    <w:uiPriority w:val="99"/>
    <w:semiHidden/>
    <w:unhideWhenUsed/>
    <w:rPr>
      <w:vertAlign w:val="superscript"/>
    </w:rPr>
  </w:style>
  <w:style w:type="character" w:styleId="876">
    <w:name w:val="Hyperlink"/>
    <w:basedOn w:val="689"/>
    <w:uiPriority w:val="99"/>
    <w:semiHidden/>
    <w:unhideWhenUsed/>
    <w:rPr>
      <w:color w:val="0000ff"/>
      <w:u w:val="single"/>
    </w:rPr>
  </w:style>
  <w:style w:type="paragraph" w:styleId="877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78" w:customStyle="1">
    <w:name w:val="Основной текст + Курсив;Интервал 0 pt"/>
    <w:basedOn w:val="68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1"/>
      <w:position w:val="0"/>
      <w:sz w:val="24"/>
      <w:szCs w:val="24"/>
      <w:u w:val="none"/>
      <w:lang w:val="en-US" w:eastAsia="en-US" w:bidi="en-US"/>
    </w:rPr>
  </w:style>
  <w:style w:type="character" w:styleId="879" w:customStyle="1">
    <w:name w:val="Основной текст_"/>
    <w:basedOn w:val="689"/>
    <w:link w:val="881"/>
    <w:rPr>
      <w:rFonts w:ascii="Times New Roman" w:hAnsi="Times New Roman" w:eastAsia="Times New Roman" w:cs="Times New Roman"/>
      <w:spacing w:val="4"/>
      <w:shd w:val="clear" w:color="auto" w:fill="ffffff"/>
    </w:rPr>
  </w:style>
  <w:style w:type="character" w:styleId="880" w:customStyle="1">
    <w:name w:val="Основной текст + Интервал 0 pt"/>
    <w:basedOn w:val="87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styleId="881" w:customStyle="1">
    <w:name w:val="Основной текст1"/>
    <w:basedOn w:val="679"/>
    <w:link w:val="879"/>
    <w:pPr>
      <w:jc w:val="both"/>
      <w:spacing w:before="900" w:after="0" w:line="320" w:lineRule="exact"/>
      <w:shd w:val="clear" w:color="auto" w:fill="ffffff"/>
      <w:widowControl w:val="off"/>
    </w:pPr>
    <w:rPr>
      <w:rFonts w:ascii="Times New Roman" w:hAnsi="Times New Roman" w:eastAsia="Times New Roman"/>
      <w:spacing w:val="4"/>
    </w:rPr>
  </w:style>
  <w:style w:type="character" w:styleId="882" w:customStyle="1">
    <w:name w:val="Основной текст (5)_"/>
    <w:basedOn w:val="689"/>
    <w:link w:val="884"/>
    <w:rPr>
      <w:rFonts w:ascii="Times New Roman" w:hAnsi="Times New Roman" w:eastAsia="Times New Roman" w:cs="Times New Roman"/>
      <w:i/>
      <w:iCs/>
      <w:spacing w:val="1"/>
      <w:shd w:val="clear" w:color="auto" w:fill="ffffff"/>
    </w:rPr>
  </w:style>
  <w:style w:type="character" w:styleId="883" w:customStyle="1">
    <w:name w:val="Основной текст (5) + Не курсив;Интервал 0 pt"/>
    <w:basedOn w:val="882"/>
    <w:rPr>
      <w:rFonts w:ascii="Times New Roman" w:hAnsi="Times New Roman" w:eastAsia="Times New Roman" w:cs="Times New Roman"/>
      <w:i/>
      <w:iCs/>
      <w:color w:val="000000"/>
      <w:spacing w:val="4"/>
      <w:position w:val="0"/>
      <w:sz w:val="24"/>
      <w:szCs w:val="24"/>
      <w:shd w:val="clear" w:color="auto" w:fill="ffffff"/>
      <w:lang w:val="ru-RU" w:eastAsia="ru-RU" w:bidi="ru-RU"/>
    </w:rPr>
  </w:style>
  <w:style w:type="paragraph" w:styleId="884" w:customStyle="1">
    <w:name w:val="Основной текст (5)"/>
    <w:basedOn w:val="679"/>
    <w:link w:val="882"/>
    <w:pPr>
      <w:jc w:val="both"/>
      <w:spacing w:before="300" w:after="0" w:line="342" w:lineRule="exact"/>
      <w:shd w:val="clear" w:color="auto" w:fill="ffffff"/>
      <w:widowControl w:val="off"/>
    </w:pPr>
    <w:rPr>
      <w:rFonts w:ascii="Times New Roman" w:hAnsi="Times New Roman" w:eastAsia="Times New Roman"/>
      <w:i/>
      <w:iCs/>
      <w:spacing w:val="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7AEE-DE05-4A54-B218-F0DA59A2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revision>38</cp:revision>
  <dcterms:created xsi:type="dcterms:W3CDTF">2019-02-11T02:14:00Z</dcterms:created>
  <dcterms:modified xsi:type="dcterms:W3CDTF">2025-11-13T04:07:59Z</dcterms:modified>
</cp:coreProperties>
</file>