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D7" w:rsidRPr="006F4A88" w:rsidRDefault="006F4A88" w:rsidP="00F23591">
      <w:pPr>
        <w:spacing w:after="0"/>
        <w:jc w:val="center"/>
        <w:rPr>
          <w:rFonts w:ascii="Times New Roman" w:hAnsi="Times New Roman" w:cs="Times New Roman"/>
          <w:b/>
          <w:sz w:val="28"/>
          <w:szCs w:val="28"/>
        </w:rPr>
      </w:pPr>
      <w:r w:rsidRPr="006F4A88">
        <w:rPr>
          <w:rFonts w:ascii="Times New Roman" w:hAnsi="Times New Roman" w:cs="Times New Roman"/>
          <w:b/>
          <w:sz w:val="28"/>
          <w:szCs w:val="28"/>
        </w:rPr>
        <w:t>24</w:t>
      </w:r>
      <w:r w:rsidR="00F23591" w:rsidRPr="006F4A88">
        <w:rPr>
          <w:rFonts w:ascii="Times New Roman" w:hAnsi="Times New Roman" w:cs="Times New Roman"/>
          <w:b/>
          <w:sz w:val="28"/>
          <w:szCs w:val="28"/>
        </w:rPr>
        <w:t xml:space="preserve"> июня 202</w:t>
      </w:r>
      <w:r w:rsidRPr="006F4A88">
        <w:rPr>
          <w:rFonts w:ascii="Times New Roman" w:hAnsi="Times New Roman" w:cs="Times New Roman"/>
          <w:b/>
          <w:sz w:val="28"/>
          <w:szCs w:val="28"/>
        </w:rPr>
        <w:t>1</w:t>
      </w:r>
      <w:r w:rsidR="00F23591" w:rsidRPr="006F4A88">
        <w:rPr>
          <w:rFonts w:ascii="Times New Roman" w:hAnsi="Times New Roman" w:cs="Times New Roman"/>
          <w:b/>
          <w:sz w:val="28"/>
          <w:szCs w:val="28"/>
        </w:rPr>
        <w:t xml:space="preserve"> года</w:t>
      </w:r>
    </w:p>
    <w:p w:rsidR="00F23591" w:rsidRPr="006F4A88" w:rsidRDefault="00F23591" w:rsidP="00F23591">
      <w:pPr>
        <w:spacing w:after="0"/>
        <w:jc w:val="center"/>
        <w:rPr>
          <w:rFonts w:ascii="Times New Roman" w:hAnsi="Times New Roman" w:cs="Times New Roman"/>
          <w:b/>
          <w:sz w:val="28"/>
          <w:szCs w:val="28"/>
          <w:highlight w:val="yellow"/>
        </w:rPr>
      </w:pPr>
      <w:r w:rsidRPr="006F4A88">
        <w:rPr>
          <w:rFonts w:ascii="Times New Roman" w:hAnsi="Times New Roman" w:cs="Times New Roman"/>
          <w:b/>
          <w:sz w:val="28"/>
          <w:szCs w:val="28"/>
        </w:rPr>
        <w:t xml:space="preserve">Отчёт о проведении публичных консультаций при проведении оценки регулирующего воздействия </w:t>
      </w:r>
    </w:p>
    <w:p w:rsidR="006F4A88" w:rsidRDefault="006F4A88" w:rsidP="00F23591">
      <w:pPr>
        <w:spacing w:after="0"/>
        <w:jc w:val="center"/>
        <w:rPr>
          <w:rFonts w:ascii="Times New Roman" w:hAnsi="Times New Roman" w:cs="Times New Roman"/>
          <w:b/>
          <w:sz w:val="28"/>
          <w:szCs w:val="28"/>
        </w:rPr>
      </w:pPr>
      <w:r>
        <w:rPr>
          <w:rFonts w:ascii="Times New Roman" w:eastAsia="Times New Roman" w:hAnsi="Times New Roman" w:cs="Times New Roman"/>
          <w:b/>
          <w:bCs/>
          <w:sz w:val="28"/>
          <w:szCs w:val="28"/>
        </w:rPr>
        <w:t>п</w:t>
      </w:r>
      <w:r w:rsidR="00F23591" w:rsidRPr="006F4A88">
        <w:rPr>
          <w:rFonts w:ascii="Times New Roman" w:eastAsia="Times New Roman" w:hAnsi="Times New Roman" w:cs="Times New Roman"/>
          <w:b/>
          <w:bCs/>
          <w:sz w:val="28"/>
          <w:szCs w:val="28"/>
        </w:rPr>
        <w:t>роекта</w:t>
      </w:r>
      <w:r>
        <w:rPr>
          <w:rFonts w:ascii="Times New Roman" w:eastAsia="Times New Roman" w:hAnsi="Times New Roman" w:cs="Times New Roman"/>
          <w:b/>
          <w:bCs/>
          <w:sz w:val="28"/>
          <w:szCs w:val="28"/>
        </w:rPr>
        <w:t xml:space="preserve"> </w:t>
      </w:r>
      <w:r w:rsidRPr="006F4A88">
        <w:rPr>
          <w:rFonts w:ascii="Times New Roman" w:hAnsi="Times New Roman" w:cs="Times New Roman"/>
          <w:b/>
          <w:sz w:val="28"/>
          <w:szCs w:val="28"/>
        </w:rPr>
        <w:t xml:space="preserve">постановления администрации муниципального района «Хилокский район» </w:t>
      </w:r>
    </w:p>
    <w:p w:rsidR="006F4A88" w:rsidRDefault="006F4A88" w:rsidP="00F23591">
      <w:pPr>
        <w:spacing w:after="0"/>
        <w:jc w:val="center"/>
        <w:rPr>
          <w:rFonts w:ascii="Times New Roman" w:hAnsi="Times New Roman"/>
          <w:b/>
          <w:sz w:val="28"/>
          <w:szCs w:val="28"/>
        </w:rPr>
      </w:pPr>
      <w:r w:rsidRPr="006F4A88">
        <w:rPr>
          <w:rFonts w:ascii="Times New Roman" w:hAnsi="Times New Roman"/>
          <w:b/>
          <w:sz w:val="28"/>
          <w:szCs w:val="28"/>
        </w:rPr>
        <w:t xml:space="preserve">«Об утверждении административного регламента осуществления муниципального </w:t>
      </w:r>
      <w:proofErr w:type="gramStart"/>
      <w:r w:rsidRPr="006F4A88">
        <w:rPr>
          <w:rFonts w:ascii="Times New Roman" w:hAnsi="Times New Roman"/>
          <w:b/>
          <w:sz w:val="28"/>
          <w:szCs w:val="28"/>
        </w:rPr>
        <w:t>контроля за</w:t>
      </w:r>
      <w:proofErr w:type="gramEnd"/>
      <w:r w:rsidRPr="006F4A88">
        <w:rPr>
          <w:rFonts w:ascii="Times New Roman" w:hAnsi="Times New Roman"/>
          <w:b/>
          <w:sz w:val="28"/>
          <w:szCs w:val="28"/>
        </w:rPr>
        <w:t xml:space="preserve"> сохранностью автомобильных дорог местного значения муниципального района «Хилокский район»</w:t>
      </w:r>
    </w:p>
    <w:p w:rsidR="006F4A88" w:rsidRPr="006F4A88" w:rsidRDefault="006F4A88" w:rsidP="00F23591">
      <w:pPr>
        <w:spacing w:after="0"/>
        <w:jc w:val="center"/>
        <w:rPr>
          <w:rFonts w:ascii="Times New Roman" w:eastAsia="Times New Roman" w:hAnsi="Times New Roman" w:cs="Times New Roman"/>
          <w:b/>
          <w:bCs/>
          <w:sz w:val="16"/>
          <w:szCs w:val="16"/>
        </w:rPr>
      </w:pPr>
    </w:p>
    <w:p w:rsidR="00F23591" w:rsidRPr="006F4A88" w:rsidRDefault="00F23591" w:rsidP="00F23591">
      <w:pPr>
        <w:spacing w:after="0"/>
        <w:jc w:val="both"/>
        <w:rPr>
          <w:rFonts w:ascii="Times New Roman" w:hAnsi="Times New Roman"/>
          <w:color w:val="000000"/>
          <w:spacing w:val="-11"/>
          <w:sz w:val="28"/>
          <w:szCs w:val="28"/>
        </w:rPr>
      </w:pPr>
      <w:r w:rsidRPr="006F4A88">
        <w:rPr>
          <w:rFonts w:ascii="Times New Roman" w:hAnsi="Times New Roman"/>
          <w:color w:val="000000"/>
          <w:spacing w:val="-11"/>
          <w:sz w:val="28"/>
          <w:szCs w:val="28"/>
        </w:rPr>
        <w:t xml:space="preserve">Период проведения публичных консультаций: с 9 по </w:t>
      </w:r>
      <w:r w:rsidR="006F4A88" w:rsidRPr="006F4A88">
        <w:rPr>
          <w:rFonts w:ascii="Times New Roman" w:hAnsi="Times New Roman"/>
          <w:color w:val="000000"/>
          <w:spacing w:val="-11"/>
          <w:sz w:val="28"/>
          <w:szCs w:val="28"/>
        </w:rPr>
        <w:t>23</w:t>
      </w:r>
      <w:r w:rsidRPr="006F4A88">
        <w:rPr>
          <w:rFonts w:ascii="Times New Roman" w:hAnsi="Times New Roman"/>
          <w:color w:val="000000"/>
          <w:spacing w:val="-11"/>
          <w:sz w:val="28"/>
          <w:szCs w:val="28"/>
        </w:rPr>
        <w:t xml:space="preserve"> июня 202</w:t>
      </w:r>
      <w:r w:rsidR="006F4A88" w:rsidRPr="006F4A88">
        <w:rPr>
          <w:rFonts w:ascii="Times New Roman" w:hAnsi="Times New Roman"/>
          <w:color w:val="000000"/>
          <w:spacing w:val="-11"/>
          <w:sz w:val="28"/>
          <w:szCs w:val="28"/>
        </w:rPr>
        <w:t>1</w:t>
      </w:r>
      <w:r w:rsidRPr="006F4A88">
        <w:rPr>
          <w:rFonts w:ascii="Times New Roman" w:hAnsi="Times New Roman"/>
          <w:color w:val="000000"/>
          <w:spacing w:val="-11"/>
          <w:sz w:val="28"/>
          <w:szCs w:val="28"/>
        </w:rPr>
        <w:t xml:space="preserve"> года.</w:t>
      </w:r>
      <w:r w:rsidR="006F4A88" w:rsidRPr="006F4A88">
        <w:rPr>
          <w:rFonts w:ascii="Times New Roman" w:hAnsi="Times New Roman"/>
          <w:color w:val="000000"/>
          <w:spacing w:val="-11"/>
          <w:sz w:val="28"/>
          <w:szCs w:val="28"/>
        </w:rPr>
        <w:t xml:space="preserve"> </w:t>
      </w:r>
    </w:p>
    <w:tbl>
      <w:tblPr>
        <w:tblStyle w:val="a3"/>
        <w:tblW w:w="0" w:type="auto"/>
        <w:tblLook w:val="04A0" w:firstRow="1" w:lastRow="0" w:firstColumn="1" w:lastColumn="0" w:noHBand="0" w:noVBand="1"/>
      </w:tblPr>
      <w:tblGrid>
        <w:gridCol w:w="675"/>
        <w:gridCol w:w="3696"/>
        <w:gridCol w:w="5943"/>
        <w:gridCol w:w="4395"/>
      </w:tblGrid>
      <w:tr w:rsidR="00825F1E" w:rsidRPr="006F4A88" w:rsidTr="00825F1E">
        <w:tc>
          <w:tcPr>
            <w:tcW w:w="675" w:type="dxa"/>
          </w:tcPr>
          <w:p w:rsidR="00825F1E" w:rsidRPr="000109B4" w:rsidRDefault="00825F1E" w:rsidP="00825F1E">
            <w:pPr>
              <w:jc w:val="center"/>
              <w:rPr>
                <w:rFonts w:ascii="Times New Roman" w:hAnsi="Times New Roman"/>
                <w:b/>
                <w:color w:val="000000"/>
                <w:spacing w:val="-11"/>
                <w:sz w:val="24"/>
                <w:szCs w:val="24"/>
              </w:rPr>
            </w:pPr>
            <w:r w:rsidRPr="000109B4">
              <w:rPr>
                <w:rFonts w:ascii="Times New Roman" w:hAnsi="Times New Roman"/>
                <w:b/>
                <w:color w:val="000000"/>
                <w:spacing w:val="-11"/>
                <w:sz w:val="24"/>
                <w:szCs w:val="24"/>
              </w:rPr>
              <w:t xml:space="preserve">№ </w:t>
            </w:r>
            <w:proofErr w:type="gramStart"/>
            <w:r w:rsidRPr="000109B4">
              <w:rPr>
                <w:rFonts w:ascii="Times New Roman" w:hAnsi="Times New Roman"/>
                <w:b/>
                <w:color w:val="000000"/>
                <w:spacing w:val="-11"/>
                <w:sz w:val="24"/>
                <w:szCs w:val="24"/>
              </w:rPr>
              <w:t>п</w:t>
            </w:r>
            <w:proofErr w:type="gramEnd"/>
            <w:r w:rsidRPr="000109B4">
              <w:rPr>
                <w:rFonts w:ascii="Times New Roman" w:hAnsi="Times New Roman"/>
                <w:b/>
                <w:color w:val="000000"/>
                <w:spacing w:val="-11"/>
                <w:sz w:val="24"/>
                <w:szCs w:val="24"/>
              </w:rPr>
              <w:t>/п</w:t>
            </w:r>
          </w:p>
        </w:tc>
        <w:tc>
          <w:tcPr>
            <w:tcW w:w="3696" w:type="dxa"/>
          </w:tcPr>
          <w:p w:rsidR="00825F1E" w:rsidRPr="000109B4" w:rsidRDefault="00825F1E" w:rsidP="00825F1E">
            <w:pPr>
              <w:jc w:val="center"/>
              <w:rPr>
                <w:rFonts w:ascii="Times New Roman" w:hAnsi="Times New Roman"/>
                <w:b/>
                <w:color w:val="000000"/>
                <w:spacing w:val="-11"/>
                <w:sz w:val="24"/>
                <w:szCs w:val="24"/>
              </w:rPr>
            </w:pPr>
            <w:r w:rsidRPr="000109B4">
              <w:rPr>
                <w:rFonts w:ascii="Times New Roman" w:hAnsi="Times New Roman"/>
                <w:b/>
                <w:color w:val="000000"/>
                <w:spacing w:val="-11"/>
                <w:sz w:val="24"/>
                <w:szCs w:val="24"/>
              </w:rPr>
              <w:t>Участники</w:t>
            </w:r>
          </w:p>
        </w:tc>
        <w:tc>
          <w:tcPr>
            <w:tcW w:w="5943" w:type="dxa"/>
          </w:tcPr>
          <w:p w:rsidR="00825F1E" w:rsidRPr="000109B4" w:rsidRDefault="00825F1E" w:rsidP="00825F1E">
            <w:pPr>
              <w:jc w:val="center"/>
              <w:rPr>
                <w:rFonts w:ascii="Times New Roman" w:hAnsi="Times New Roman"/>
                <w:b/>
                <w:color w:val="000000"/>
                <w:spacing w:val="-11"/>
                <w:sz w:val="24"/>
                <w:szCs w:val="24"/>
              </w:rPr>
            </w:pPr>
            <w:r w:rsidRPr="000109B4">
              <w:rPr>
                <w:rFonts w:ascii="Times New Roman" w:hAnsi="Times New Roman"/>
                <w:b/>
                <w:color w:val="000000"/>
                <w:spacing w:val="-11"/>
                <w:sz w:val="24"/>
                <w:szCs w:val="24"/>
              </w:rPr>
              <w:t xml:space="preserve">Общее содержание </w:t>
            </w:r>
          </w:p>
          <w:p w:rsidR="00825F1E" w:rsidRPr="000109B4" w:rsidRDefault="00825F1E" w:rsidP="00825F1E">
            <w:pPr>
              <w:jc w:val="center"/>
              <w:rPr>
                <w:rFonts w:ascii="Times New Roman" w:hAnsi="Times New Roman"/>
                <w:b/>
                <w:color w:val="000000"/>
                <w:spacing w:val="-11"/>
                <w:sz w:val="24"/>
                <w:szCs w:val="24"/>
              </w:rPr>
            </w:pPr>
            <w:r w:rsidRPr="000109B4">
              <w:rPr>
                <w:rFonts w:ascii="Times New Roman" w:hAnsi="Times New Roman"/>
                <w:b/>
                <w:color w:val="000000"/>
                <w:spacing w:val="-11"/>
                <w:sz w:val="24"/>
                <w:szCs w:val="24"/>
              </w:rPr>
              <w:t>полученных замечаний и предложений</w:t>
            </w:r>
          </w:p>
        </w:tc>
        <w:tc>
          <w:tcPr>
            <w:tcW w:w="4395" w:type="dxa"/>
          </w:tcPr>
          <w:p w:rsidR="00825F1E" w:rsidRPr="000109B4" w:rsidRDefault="00825F1E" w:rsidP="00825F1E">
            <w:pPr>
              <w:jc w:val="center"/>
              <w:rPr>
                <w:rFonts w:ascii="Times New Roman" w:hAnsi="Times New Roman"/>
                <w:b/>
                <w:color w:val="000000"/>
                <w:spacing w:val="-11"/>
                <w:sz w:val="24"/>
                <w:szCs w:val="24"/>
              </w:rPr>
            </w:pPr>
            <w:r w:rsidRPr="000109B4">
              <w:rPr>
                <w:rFonts w:ascii="Times New Roman" w:hAnsi="Times New Roman"/>
                <w:b/>
                <w:color w:val="000000"/>
                <w:spacing w:val="-11"/>
                <w:sz w:val="24"/>
                <w:szCs w:val="24"/>
              </w:rPr>
              <w:t>Комментарии</w:t>
            </w:r>
          </w:p>
        </w:tc>
      </w:tr>
      <w:tr w:rsidR="00D10C6D" w:rsidRPr="006F4A88" w:rsidTr="00825F1E">
        <w:tc>
          <w:tcPr>
            <w:tcW w:w="675" w:type="dxa"/>
          </w:tcPr>
          <w:p w:rsidR="00D10C6D" w:rsidRPr="000109B4" w:rsidRDefault="00D10C6D" w:rsidP="00F23591">
            <w:pPr>
              <w:jc w:val="both"/>
              <w:rPr>
                <w:rFonts w:ascii="Times New Roman" w:hAnsi="Times New Roman"/>
                <w:color w:val="000000"/>
                <w:spacing w:val="-11"/>
                <w:sz w:val="24"/>
                <w:szCs w:val="24"/>
              </w:rPr>
            </w:pPr>
            <w:r w:rsidRPr="000109B4">
              <w:rPr>
                <w:rFonts w:ascii="Times New Roman" w:hAnsi="Times New Roman"/>
                <w:color w:val="000000"/>
                <w:spacing w:val="-11"/>
                <w:sz w:val="24"/>
                <w:szCs w:val="24"/>
              </w:rPr>
              <w:t>1</w:t>
            </w:r>
          </w:p>
        </w:tc>
        <w:tc>
          <w:tcPr>
            <w:tcW w:w="3696" w:type="dxa"/>
          </w:tcPr>
          <w:p w:rsidR="00D10C6D" w:rsidRPr="000109B4" w:rsidRDefault="00D10C6D" w:rsidP="00F23591">
            <w:pPr>
              <w:jc w:val="both"/>
              <w:rPr>
                <w:rFonts w:ascii="Times New Roman" w:hAnsi="Times New Roman"/>
                <w:spacing w:val="-11"/>
                <w:sz w:val="24"/>
                <w:szCs w:val="24"/>
              </w:rPr>
            </w:pPr>
            <w:r w:rsidRPr="000109B4">
              <w:rPr>
                <w:rFonts w:ascii="Times New Roman" w:hAnsi="Times New Roman"/>
                <w:spacing w:val="-11"/>
                <w:sz w:val="24"/>
                <w:szCs w:val="24"/>
              </w:rPr>
              <w:t>Уполномоченный по защите прав предпринимателей в Забайкальском крае</w:t>
            </w:r>
          </w:p>
        </w:tc>
        <w:tc>
          <w:tcPr>
            <w:tcW w:w="5943" w:type="dxa"/>
          </w:tcPr>
          <w:p w:rsidR="00D10C6D" w:rsidRPr="00D05E7B" w:rsidRDefault="00D05E7B" w:rsidP="00D05E7B">
            <w:pPr>
              <w:spacing w:before="120"/>
              <w:ind w:left="24"/>
              <w:jc w:val="both"/>
              <w:rPr>
                <w:rFonts w:ascii="Times New Roman" w:hAnsi="Times New Roman"/>
                <w:spacing w:val="-11"/>
                <w:sz w:val="24"/>
                <w:szCs w:val="24"/>
                <w:highlight w:val="yellow"/>
              </w:rPr>
            </w:pPr>
            <w:r w:rsidRPr="00D05E7B">
              <w:rPr>
                <w:rFonts w:ascii="Times New Roman" w:hAnsi="Times New Roman"/>
                <w:sz w:val="24"/>
                <w:szCs w:val="24"/>
              </w:rPr>
              <w:t xml:space="preserve">В соответствии с подпунктом «ж» пункта </w:t>
            </w:r>
            <w:r w:rsidR="00B76DF4">
              <w:rPr>
                <w:rFonts w:ascii="Times New Roman" w:hAnsi="Times New Roman"/>
                <w:sz w:val="24"/>
                <w:szCs w:val="24"/>
              </w:rPr>
              <w:t>1.</w:t>
            </w:r>
            <w:bookmarkStart w:id="0" w:name="_GoBack"/>
            <w:bookmarkEnd w:id="0"/>
            <w:r w:rsidRPr="00D05E7B">
              <w:rPr>
                <w:rFonts w:ascii="Times New Roman" w:hAnsi="Times New Roman"/>
                <w:sz w:val="24"/>
                <w:szCs w:val="24"/>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Хилокском районе к участию в проверке. Однако</w:t>
            </w:r>
            <w:proofErr w:type="gramStart"/>
            <w:r w:rsidRPr="00D05E7B">
              <w:rPr>
                <w:rFonts w:ascii="Times New Roman" w:hAnsi="Times New Roman"/>
                <w:sz w:val="24"/>
                <w:szCs w:val="24"/>
              </w:rPr>
              <w:t>,</w:t>
            </w:r>
            <w:proofErr w:type="gramEnd"/>
            <w:r w:rsidRPr="00D05E7B">
              <w:rPr>
                <w:rFonts w:ascii="Times New Roman" w:hAnsi="Times New Roman"/>
                <w:sz w:val="24"/>
                <w:szCs w:val="24"/>
              </w:rPr>
              <w:t xml:space="preserve"> должность уполномоченного по защите прав предпринимателей в Хилокском районе</w:t>
            </w:r>
            <w:r>
              <w:rPr>
                <w:rFonts w:ascii="Times New Roman" w:hAnsi="Times New Roman"/>
                <w:sz w:val="24"/>
                <w:szCs w:val="24"/>
              </w:rPr>
              <w:t xml:space="preserve"> </w:t>
            </w:r>
            <w:r w:rsidRPr="00D05E7B">
              <w:rPr>
                <w:rFonts w:ascii="Times New Roman" w:hAnsi="Times New Roman"/>
                <w:sz w:val="24"/>
                <w:szCs w:val="24"/>
              </w:rPr>
              <w:t xml:space="preserve">не предусмотрена законодательством. В соответствии с частью 11 статьи 10 Закона Забайкальского края от 03.03.2014 N 933-ЗЗК «Об Уполномоченном по защите прав предпринимателей в Забайкальском крае» Уполномоченный по защите прав предпринимателей в Забайкальском крае вправе принимать с письменного </w:t>
            </w:r>
            <w:proofErr w:type="gramStart"/>
            <w:r w:rsidRPr="00D05E7B">
              <w:rPr>
                <w:rFonts w:ascii="Times New Roman" w:hAnsi="Times New Roman"/>
                <w:sz w:val="24"/>
                <w:szCs w:val="24"/>
              </w:rPr>
              <w:t>согласия</w:t>
            </w:r>
            <w:proofErr w:type="gramEnd"/>
            <w:r w:rsidRPr="00D05E7B">
              <w:rPr>
                <w:rFonts w:ascii="Times New Roman" w:hAnsi="Times New Roman"/>
                <w:sz w:val="24"/>
                <w:szCs w:val="24"/>
              </w:rPr>
              <w:t xml:space="preserve"> обратившегося с жалобой заявителя участие в проверке, проводимой в отношении субъекта предпринимательской деятельности в рамках государственного контроля (надзора) или муниципального контроля. В </w:t>
            </w:r>
            <w:proofErr w:type="gramStart"/>
            <w:r w:rsidRPr="00D05E7B">
              <w:rPr>
                <w:rFonts w:ascii="Times New Roman" w:hAnsi="Times New Roman"/>
                <w:sz w:val="24"/>
                <w:szCs w:val="24"/>
              </w:rPr>
              <w:t>связи</w:t>
            </w:r>
            <w:proofErr w:type="gramEnd"/>
            <w:r w:rsidRPr="00D05E7B">
              <w:rPr>
                <w:rFonts w:ascii="Times New Roman" w:hAnsi="Times New Roman"/>
                <w:sz w:val="24"/>
                <w:szCs w:val="24"/>
              </w:rPr>
              <w:t xml:space="preserve"> с чем необходимо </w:t>
            </w:r>
            <w:r w:rsidRPr="00D05E7B">
              <w:rPr>
                <w:rFonts w:ascii="Times New Roman" w:hAnsi="Times New Roman"/>
                <w:sz w:val="24"/>
                <w:szCs w:val="24"/>
              </w:rPr>
              <w:lastRenderedPageBreak/>
              <w:t xml:space="preserve">заменить «уполномоченного по защите прав предпринимателей в Хилокском районе» на «Уполномоченного по защите прав предпринимателей в Забайкальском крае». </w:t>
            </w:r>
          </w:p>
        </w:tc>
        <w:tc>
          <w:tcPr>
            <w:tcW w:w="4395" w:type="dxa"/>
          </w:tcPr>
          <w:p w:rsidR="00D10C6D" w:rsidRPr="00D05E7B" w:rsidRDefault="00D10C6D" w:rsidP="00F23591">
            <w:pPr>
              <w:jc w:val="both"/>
              <w:rPr>
                <w:rFonts w:ascii="Times New Roman" w:hAnsi="Times New Roman"/>
                <w:color w:val="000000"/>
                <w:spacing w:val="-11"/>
                <w:sz w:val="24"/>
                <w:szCs w:val="24"/>
              </w:rPr>
            </w:pPr>
            <w:r w:rsidRPr="00D05E7B">
              <w:rPr>
                <w:rFonts w:ascii="Times New Roman" w:hAnsi="Times New Roman"/>
                <w:color w:val="000000"/>
                <w:spacing w:val="-11"/>
                <w:sz w:val="24"/>
                <w:szCs w:val="24"/>
              </w:rPr>
              <w:lastRenderedPageBreak/>
              <w:t>Разработчику НПА предлагается ознакомиться с данной позицией.</w:t>
            </w:r>
          </w:p>
          <w:p w:rsidR="00D10C6D" w:rsidRPr="00D05E7B" w:rsidRDefault="00D10C6D" w:rsidP="00F23591">
            <w:pPr>
              <w:jc w:val="both"/>
              <w:rPr>
                <w:rFonts w:ascii="Times New Roman" w:hAnsi="Times New Roman"/>
                <w:color w:val="000000"/>
                <w:spacing w:val="-11"/>
                <w:sz w:val="24"/>
                <w:szCs w:val="24"/>
              </w:rPr>
            </w:pPr>
            <w:r w:rsidRPr="00D05E7B">
              <w:rPr>
                <w:rFonts w:ascii="Times New Roman" w:hAnsi="Times New Roman"/>
                <w:color w:val="000000"/>
                <w:spacing w:val="-11"/>
                <w:sz w:val="24"/>
                <w:szCs w:val="24"/>
              </w:rPr>
              <w:t>Позиция учтена в заключении об оценке регулирующего воздействия.</w:t>
            </w:r>
          </w:p>
        </w:tc>
      </w:tr>
      <w:tr w:rsidR="00D10C6D" w:rsidRPr="006F4A88" w:rsidTr="00825F1E">
        <w:tc>
          <w:tcPr>
            <w:tcW w:w="675" w:type="dxa"/>
          </w:tcPr>
          <w:p w:rsidR="00D10C6D" w:rsidRPr="000109B4" w:rsidRDefault="00D10C6D" w:rsidP="00F23591">
            <w:pPr>
              <w:jc w:val="both"/>
              <w:rPr>
                <w:rFonts w:ascii="Times New Roman" w:hAnsi="Times New Roman"/>
                <w:color w:val="000000"/>
                <w:spacing w:val="-11"/>
                <w:sz w:val="24"/>
                <w:szCs w:val="24"/>
              </w:rPr>
            </w:pPr>
            <w:r w:rsidRPr="000109B4">
              <w:rPr>
                <w:rFonts w:ascii="Times New Roman" w:hAnsi="Times New Roman"/>
                <w:color w:val="000000"/>
                <w:spacing w:val="-11"/>
                <w:sz w:val="24"/>
                <w:szCs w:val="24"/>
              </w:rPr>
              <w:lastRenderedPageBreak/>
              <w:t>2</w:t>
            </w:r>
          </w:p>
        </w:tc>
        <w:tc>
          <w:tcPr>
            <w:tcW w:w="3696" w:type="dxa"/>
          </w:tcPr>
          <w:p w:rsidR="00D10C6D" w:rsidRPr="000109B4" w:rsidRDefault="00D10C6D" w:rsidP="00F23591">
            <w:pPr>
              <w:jc w:val="both"/>
              <w:rPr>
                <w:rFonts w:ascii="Times New Roman" w:hAnsi="Times New Roman" w:cs="Times New Roman"/>
                <w:spacing w:val="-11"/>
                <w:sz w:val="24"/>
                <w:szCs w:val="24"/>
              </w:rPr>
            </w:pPr>
            <w:r w:rsidRPr="000109B4">
              <w:rPr>
                <w:rFonts w:ascii="Times New Roman" w:hAnsi="Times New Roman" w:cs="Times New Roman"/>
                <w:sz w:val="24"/>
                <w:szCs w:val="24"/>
              </w:rPr>
              <w:t>Забайкальское региональное отделение</w:t>
            </w:r>
            <w:r w:rsidRPr="000109B4">
              <w:rPr>
                <w:rFonts w:ascii="Times New Roman" w:hAnsi="Times New Roman" w:cs="Times New Roman"/>
                <w:b/>
                <w:sz w:val="24"/>
                <w:szCs w:val="24"/>
              </w:rPr>
              <w:t xml:space="preserve"> </w:t>
            </w:r>
            <w:r w:rsidRPr="000109B4">
              <w:rPr>
                <w:rFonts w:ascii="Times New Roman" w:hAnsi="Times New Roman" w:cs="Times New Roman"/>
                <w:sz w:val="24"/>
                <w:szCs w:val="24"/>
              </w:rPr>
              <w:t>Общероссийской общественной организации малого и среднего предпринимательства «ОПОРА РОССИИ»</w:t>
            </w:r>
          </w:p>
        </w:tc>
        <w:tc>
          <w:tcPr>
            <w:tcW w:w="5943" w:type="dxa"/>
          </w:tcPr>
          <w:p w:rsidR="00D10C6D" w:rsidRPr="000109B4" w:rsidRDefault="00D10C6D" w:rsidP="00430471">
            <w:pPr>
              <w:jc w:val="both"/>
              <w:rPr>
                <w:rFonts w:ascii="Times New Roman" w:hAnsi="Times New Roman"/>
                <w:sz w:val="24"/>
                <w:szCs w:val="24"/>
              </w:rPr>
            </w:pPr>
            <w:r w:rsidRPr="000109B4">
              <w:rPr>
                <w:rFonts w:ascii="Times New Roman" w:hAnsi="Times New Roman"/>
                <w:sz w:val="24"/>
                <w:szCs w:val="24"/>
              </w:rPr>
              <w:t>Предложения не поступали.</w:t>
            </w:r>
          </w:p>
        </w:tc>
        <w:tc>
          <w:tcPr>
            <w:tcW w:w="4395" w:type="dxa"/>
          </w:tcPr>
          <w:p w:rsidR="00D10C6D" w:rsidRPr="000109B4" w:rsidRDefault="00D10C6D" w:rsidP="002B3BA9">
            <w:pPr>
              <w:jc w:val="both"/>
              <w:rPr>
                <w:rFonts w:ascii="Times New Roman" w:hAnsi="Times New Roman"/>
                <w:color w:val="000000"/>
                <w:spacing w:val="-11"/>
                <w:sz w:val="24"/>
                <w:szCs w:val="24"/>
              </w:rPr>
            </w:pPr>
            <w:r w:rsidRPr="000109B4">
              <w:rPr>
                <w:rFonts w:ascii="Times New Roman" w:hAnsi="Times New Roman"/>
                <w:color w:val="000000"/>
                <w:spacing w:val="-11"/>
                <w:sz w:val="24"/>
                <w:szCs w:val="24"/>
              </w:rPr>
              <w:t>Позиция принята к сведению.</w:t>
            </w:r>
          </w:p>
        </w:tc>
      </w:tr>
      <w:tr w:rsidR="00D10C6D" w:rsidRPr="00825F1E" w:rsidTr="00825F1E">
        <w:tc>
          <w:tcPr>
            <w:tcW w:w="675" w:type="dxa"/>
          </w:tcPr>
          <w:p w:rsidR="00D10C6D" w:rsidRPr="000109B4" w:rsidRDefault="00D10C6D" w:rsidP="00F23591">
            <w:pPr>
              <w:jc w:val="both"/>
              <w:rPr>
                <w:rFonts w:ascii="Times New Roman" w:hAnsi="Times New Roman"/>
                <w:color w:val="000000"/>
                <w:spacing w:val="-11"/>
                <w:sz w:val="24"/>
                <w:szCs w:val="24"/>
              </w:rPr>
            </w:pPr>
            <w:r w:rsidRPr="000109B4">
              <w:rPr>
                <w:rFonts w:ascii="Times New Roman" w:hAnsi="Times New Roman"/>
                <w:color w:val="000000"/>
                <w:spacing w:val="-11"/>
                <w:sz w:val="24"/>
                <w:szCs w:val="24"/>
              </w:rPr>
              <w:t>3</w:t>
            </w:r>
          </w:p>
        </w:tc>
        <w:tc>
          <w:tcPr>
            <w:tcW w:w="3696" w:type="dxa"/>
          </w:tcPr>
          <w:p w:rsidR="00D10C6D" w:rsidRPr="000109B4" w:rsidRDefault="00D10C6D" w:rsidP="00F23591">
            <w:pPr>
              <w:jc w:val="both"/>
              <w:rPr>
                <w:rFonts w:ascii="Times New Roman" w:hAnsi="Times New Roman"/>
                <w:color w:val="000000"/>
                <w:spacing w:val="-11"/>
                <w:sz w:val="24"/>
                <w:szCs w:val="24"/>
              </w:rPr>
            </w:pPr>
            <w:r w:rsidRPr="000109B4">
              <w:rPr>
                <w:rFonts w:ascii="Times New Roman" w:hAnsi="Times New Roman"/>
                <w:color w:val="000000"/>
                <w:spacing w:val="-11"/>
                <w:sz w:val="24"/>
                <w:szCs w:val="24"/>
              </w:rPr>
              <w:t>Иные участники публичных консультаций</w:t>
            </w:r>
          </w:p>
        </w:tc>
        <w:tc>
          <w:tcPr>
            <w:tcW w:w="5943" w:type="dxa"/>
          </w:tcPr>
          <w:p w:rsidR="00D10C6D" w:rsidRPr="000109B4" w:rsidRDefault="00D10C6D" w:rsidP="001914BE">
            <w:pPr>
              <w:jc w:val="both"/>
              <w:rPr>
                <w:rFonts w:ascii="Times New Roman" w:hAnsi="Times New Roman"/>
                <w:sz w:val="24"/>
                <w:szCs w:val="24"/>
              </w:rPr>
            </w:pPr>
            <w:r w:rsidRPr="000109B4">
              <w:rPr>
                <w:rFonts w:ascii="Times New Roman" w:hAnsi="Times New Roman"/>
                <w:sz w:val="24"/>
                <w:szCs w:val="24"/>
              </w:rPr>
              <w:t>Предложения не поступали.</w:t>
            </w:r>
          </w:p>
        </w:tc>
        <w:tc>
          <w:tcPr>
            <w:tcW w:w="4395" w:type="dxa"/>
          </w:tcPr>
          <w:p w:rsidR="00D10C6D" w:rsidRPr="000109B4" w:rsidRDefault="00D10C6D" w:rsidP="001914BE">
            <w:pPr>
              <w:jc w:val="both"/>
              <w:rPr>
                <w:rFonts w:ascii="Times New Roman" w:hAnsi="Times New Roman"/>
                <w:color w:val="000000"/>
                <w:spacing w:val="-11"/>
                <w:sz w:val="24"/>
                <w:szCs w:val="24"/>
              </w:rPr>
            </w:pPr>
            <w:r w:rsidRPr="000109B4">
              <w:rPr>
                <w:rFonts w:ascii="Times New Roman" w:hAnsi="Times New Roman"/>
                <w:color w:val="000000"/>
                <w:spacing w:val="-11"/>
                <w:sz w:val="24"/>
                <w:szCs w:val="24"/>
              </w:rPr>
              <w:t>Позиция принята к сведению.</w:t>
            </w:r>
          </w:p>
        </w:tc>
      </w:tr>
    </w:tbl>
    <w:p w:rsidR="00F23591" w:rsidRDefault="00F23591" w:rsidP="00F23591">
      <w:pPr>
        <w:spacing w:after="0"/>
        <w:jc w:val="both"/>
        <w:rPr>
          <w:rFonts w:ascii="Times New Roman" w:hAnsi="Times New Roman"/>
          <w:color w:val="000000"/>
          <w:spacing w:val="-11"/>
          <w:sz w:val="28"/>
          <w:szCs w:val="28"/>
        </w:rPr>
      </w:pPr>
    </w:p>
    <w:p w:rsidR="00BE22E4" w:rsidRPr="000B452D" w:rsidRDefault="00BE22E4" w:rsidP="00BE22E4">
      <w:pPr>
        <w:pStyle w:val="a4"/>
        <w:ind w:firstLine="357"/>
        <w:jc w:val="both"/>
        <w:rPr>
          <w:rFonts w:ascii="Times New Roman" w:hAnsi="Times New Roman"/>
          <w:sz w:val="26"/>
          <w:szCs w:val="26"/>
        </w:rPr>
      </w:pPr>
    </w:p>
    <w:p w:rsidR="00BE22E4" w:rsidRDefault="00BE22E4" w:rsidP="00BE22E4">
      <w:pPr>
        <w:spacing w:after="0"/>
        <w:jc w:val="both"/>
        <w:rPr>
          <w:rFonts w:ascii="Times New Roman" w:hAnsi="Times New Roman"/>
          <w:sz w:val="26"/>
          <w:szCs w:val="26"/>
        </w:rPr>
      </w:pPr>
    </w:p>
    <w:p w:rsidR="00BE22E4" w:rsidRDefault="00BE22E4" w:rsidP="00BE22E4">
      <w:pPr>
        <w:spacing w:after="0"/>
        <w:jc w:val="both"/>
        <w:rPr>
          <w:rFonts w:ascii="Times New Roman" w:hAnsi="Times New Roman"/>
          <w:color w:val="000000"/>
          <w:spacing w:val="-11"/>
          <w:sz w:val="28"/>
          <w:szCs w:val="28"/>
        </w:rPr>
      </w:pPr>
    </w:p>
    <w:sectPr w:rsidR="00BE22E4" w:rsidSect="00F23591">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FE"/>
    <w:rsid w:val="000109B4"/>
    <w:rsid w:val="000C708D"/>
    <w:rsid w:val="000F2718"/>
    <w:rsid w:val="000F5F33"/>
    <w:rsid w:val="001E793C"/>
    <w:rsid w:val="002138CB"/>
    <w:rsid w:val="00242240"/>
    <w:rsid w:val="002635EB"/>
    <w:rsid w:val="002B5E6E"/>
    <w:rsid w:val="002F2C57"/>
    <w:rsid w:val="00430471"/>
    <w:rsid w:val="00441920"/>
    <w:rsid w:val="004A0D30"/>
    <w:rsid w:val="004F1E79"/>
    <w:rsid w:val="0050669B"/>
    <w:rsid w:val="005906D7"/>
    <w:rsid w:val="005F3D61"/>
    <w:rsid w:val="005F40C3"/>
    <w:rsid w:val="006F4A88"/>
    <w:rsid w:val="006F6762"/>
    <w:rsid w:val="007645B1"/>
    <w:rsid w:val="007E0AB4"/>
    <w:rsid w:val="00825F1E"/>
    <w:rsid w:val="00A06DE7"/>
    <w:rsid w:val="00A21CC3"/>
    <w:rsid w:val="00B05CB2"/>
    <w:rsid w:val="00B405CB"/>
    <w:rsid w:val="00B76DF4"/>
    <w:rsid w:val="00B87DDF"/>
    <w:rsid w:val="00BD3A28"/>
    <w:rsid w:val="00BE22E4"/>
    <w:rsid w:val="00C85CD7"/>
    <w:rsid w:val="00C90A81"/>
    <w:rsid w:val="00C954CF"/>
    <w:rsid w:val="00D05E7B"/>
    <w:rsid w:val="00D10C6D"/>
    <w:rsid w:val="00D657A6"/>
    <w:rsid w:val="00DA17D2"/>
    <w:rsid w:val="00E12FFE"/>
    <w:rsid w:val="00E25568"/>
    <w:rsid w:val="00ED6C7B"/>
    <w:rsid w:val="00F23591"/>
    <w:rsid w:val="00FC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E22E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E22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325</Words>
  <Characters>1859</Characters>
  <Application>Microsoft Office Word</Application>
  <DocSecurity>0</DocSecurity>
  <Lines>15</Lines>
  <Paragraphs>4</Paragraphs>
  <ScaleCrop>false</ScaleCrop>
  <Company>Krokoz™</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53</cp:revision>
  <dcterms:created xsi:type="dcterms:W3CDTF">2020-06-17T22:28:00Z</dcterms:created>
  <dcterms:modified xsi:type="dcterms:W3CDTF">2021-06-24T00:45:00Z</dcterms:modified>
</cp:coreProperties>
</file>