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C5347">
        <w:rPr>
          <w:rFonts w:ascii="Times New Roman" w:eastAsia="Times New Roman" w:hAnsi="Times New Roman" w:cs="Times New Roman"/>
          <w:sz w:val="28"/>
          <w:szCs w:val="28"/>
          <w:lang w:eastAsia="ru-RU"/>
        </w:rPr>
        <w:t>год</w:t>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D727C6" w:rsidRPr="00D727C6">
        <w:rPr>
          <w:rFonts w:ascii="Times New Roman" w:hAnsi="Times New Roman"/>
          <w:color w:val="auto"/>
          <w:sz w:val="28"/>
          <w:szCs w:val="28"/>
        </w:rPr>
        <w:t>«Передача жилых помещений в собственность граждан»</w:t>
      </w:r>
      <w:r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 года № 249</w:t>
      </w:r>
      <w:r w:rsidRPr="00D07CA5">
        <w:rPr>
          <w:rFonts w:ascii="Times New Roman" w:eastAsia="Times New Roman" w:hAnsi="Times New Roman" w:cs="Times New Roman"/>
          <w:color w:val="auto"/>
          <w:sz w:val="28"/>
          <w:szCs w:val="28"/>
          <w:lang w:eastAsia="ru-RU"/>
        </w:rPr>
        <w:t xml:space="preserve"> </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D727C6" w:rsidRPr="00D727C6" w:rsidRDefault="000C5347" w:rsidP="00D727C6">
      <w:pPr>
        <w:pStyle w:val="2"/>
        <w:spacing w:before="0"/>
        <w:ind w:right="-6"/>
        <w:rPr>
          <w:rFonts w:ascii="Times New Roman" w:eastAsia="Times New Roman" w:hAnsi="Times New Roman" w:cs="Times New Roman"/>
          <w:b w:val="0"/>
          <w:color w:val="auto"/>
          <w:kern w:val="28"/>
          <w:sz w:val="28"/>
          <w:szCs w:val="28"/>
          <w:lang w:eastAsia="ru-RU"/>
        </w:rPr>
      </w:pPr>
      <w:r w:rsidRPr="006D1FB3">
        <w:rPr>
          <w:rFonts w:ascii="Times New Roman" w:eastAsia="Times New Roman" w:hAnsi="Times New Roman" w:cs="Times New Roman"/>
          <w:sz w:val="28"/>
          <w:szCs w:val="28"/>
          <w:lang w:eastAsia="ru-RU"/>
        </w:rPr>
        <w:t xml:space="preserve">         </w:t>
      </w:r>
      <w:r w:rsidRPr="00D727C6">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D727C6" w:rsidRPr="00D727C6">
        <w:rPr>
          <w:rFonts w:ascii="Times New Roman" w:hAnsi="Times New Roman"/>
          <w:b w:val="0"/>
          <w:color w:val="auto"/>
          <w:sz w:val="28"/>
          <w:szCs w:val="28"/>
        </w:rPr>
        <w:t>«Передача жилых помещений в собственность граждан»</w:t>
      </w:r>
      <w:r w:rsidR="00D727C6" w:rsidRPr="00D727C6">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D727C6" w:rsidRPr="00D727C6">
        <w:rPr>
          <w:rFonts w:ascii="Times New Roman" w:eastAsia="Times New Roman" w:hAnsi="Times New Roman" w:cs="Times New Roman"/>
          <w:b w:val="0"/>
          <w:bCs w:val="0"/>
          <w:color w:val="auto"/>
          <w:sz w:val="28"/>
          <w:szCs w:val="28"/>
          <w:lang w:eastAsia="ru-RU"/>
        </w:rPr>
        <w:t>го поселения «Харагунское» от 01.12.2017 года № 249</w:t>
      </w:r>
      <w:r w:rsidR="00D727C6" w:rsidRPr="00D727C6">
        <w:rPr>
          <w:rFonts w:ascii="Times New Roman" w:eastAsia="Times New Roman" w:hAnsi="Times New Roman" w:cs="Times New Roman"/>
          <w:b w:val="0"/>
          <w:color w:val="auto"/>
          <w:sz w:val="28"/>
          <w:szCs w:val="28"/>
          <w:lang w:eastAsia="ru-RU"/>
        </w:rPr>
        <w:t xml:space="preserve"> </w:t>
      </w:r>
    </w:p>
    <w:p w:rsidR="000C5347" w:rsidRPr="000C5347" w:rsidRDefault="000C5347" w:rsidP="006D1FB3">
      <w:pPr>
        <w:autoSpaceDE w:val="0"/>
        <w:autoSpaceDN w:val="0"/>
        <w:adjustRightInd w:val="0"/>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0C5347" w:rsidRPr="000C5347" w:rsidRDefault="000C5347" w:rsidP="000C5347">
      <w:pPr>
        <w:spacing w:after="0" w:line="240" w:lineRule="auto"/>
        <w:jc w:val="both"/>
        <w:rPr>
          <w:rFonts w:ascii="Times New Roman" w:eastAsia="Times New Roman" w:hAnsi="Times New Roman" w:cs="Times New Roman"/>
          <w:color w:val="000000"/>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9D086F">
        <w:rPr>
          <w:rFonts w:ascii="Times New Roman" w:eastAsia="Times New Roman" w:hAnsi="Times New Roman" w:cs="Times New Roman"/>
          <w:sz w:val="28"/>
          <w:szCs w:val="28"/>
          <w:lang w:eastAsia="ru-RU"/>
        </w:rPr>
        <w:t>Л.Е. Сизых</w:t>
      </w:r>
    </w:p>
    <w:p w:rsidR="000C5347" w:rsidRPr="000C5347" w:rsidRDefault="000C5347" w:rsidP="000C5347">
      <w:pPr>
        <w:suppressAutoHyphens/>
        <w:spacing w:after="0" w:line="240" w:lineRule="auto"/>
        <w:jc w:val="both"/>
        <w:rPr>
          <w:rFonts w:ascii="Arial" w:eastAsia="Times New Roman" w:hAnsi="Arial" w:cs="Arial"/>
          <w:sz w:val="24"/>
          <w:szCs w:val="24"/>
          <w:lang w:eastAsia="ru-RU"/>
        </w:rPr>
      </w:pPr>
    </w:p>
    <w:p w:rsidR="000C5347" w:rsidRPr="000C5347" w:rsidRDefault="000C5347" w:rsidP="000C5347">
      <w:pPr>
        <w:spacing w:after="0" w:line="240" w:lineRule="auto"/>
        <w:rPr>
          <w:rFonts w:ascii="Arial" w:eastAsia="Times New Roman" w:hAnsi="Arial" w:cs="Arial"/>
          <w:sz w:val="24"/>
          <w:szCs w:val="24"/>
          <w:lang w:eastAsia="ru-RU"/>
        </w:rPr>
      </w:pPr>
      <w:r w:rsidRPr="000C5347">
        <w:rPr>
          <w:rFonts w:ascii="Arial" w:eastAsia="Times New Roman" w:hAnsi="Arial" w:cs="Arial"/>
          <w:sz w:val="24"/>
          <w:szCs w:val="24"/>
          <w:lang w:eastAsia="ru-RU"/>
        </w:rPr>
        <w:br w:type="page"/>
      </w:r>
      <w:r w:rsidRPr="000C5347">
        <w:rPr>
          <w:rFonts w:ascii="Arial" w:eastAsia="Times New Roman" w:hAnsi="Arial" w:cs="Arial"/>
          <w:sz w:val="24"/>
          <w:szCs w:val="24"/>
          <w:lang w:eastAsia="ru-RU"/>
        </w:rPr>
        <w:lastRenderedPageBreak/>
        <w:t xml:space="preserve">                                                                        </w:t>
      </w:r>
      <w:r w:rsidRPr="000C5347">
        <w:rPr>
          <w:rFonts w:ascii="Times New Roman" w:eastAsia="Times New Roman" w:hAnsi="Times New Roman" w:cs="Times New Roman"/>
          <w:sz w:val="28"/>
          <w:szCs w:val="28"/>
          <w:lang w:eastAsia="ru-RU"/>
        </w:rPr>
        <w:tab/>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2021 г. №  </w:t>
      </w:r>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D727C6" w:rsidRPr="00D07CA5" w:rsidRDefault="000C5347" w:rsidP="00D727C6">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D727C6" w:rsidRPr="00D727C6">
        <w:rPr>
          <w:rFonts w:ascii="Times New Roman" w:hAnsi="Times New Roman"/>
          <w:color w:val="auto"/>
          <w:sz w:val="28"/>
          <w:szCs w:val="28"/>
        </w:rPr>
        <w:t>«Передача жилых помещений в собственность граждан»</w:t>
      </w:r>
      <w:r w:rsidR="00D727C6"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D727C6"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 года № 249</w:t>
      </w:r>
      <w:r w:rsidR="00D727C6" w:rsidRPr="00D07CA5">
        <w:rPr>
          <w:rFonts w:ascii="Times New Roman" w:eastAsia="Times New Roman" w:hAnsi="Times New Roman" w:cs="Times New Roman"/>
          <w:color w:val="auto"/>
          <w:sz w:val="28"/>
          <w:szCs w:val="28"/>
          <w:lang w:eastAsia="ru-RU"/>
        </w:rPr>
        <w:t xml:space="preserve"> </w:t>
      </w:r>
    </w:p>
    <w:p w:rsidR="000C5347" w:rsidRPr="000C5347" w:rsidRDefault="000C5347" w:rsidP="009D086F">
      <w:pPr>
        <w:autoSpaceDE w:val="0"/>
        <w:autoSpaceDN w:val="0"/>
        <w:adjustRightInd w:val="0"/>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В административном регламенте по предоставлению муниципальной услуги:</w:t>
      </w:r>
    </w:p>
    <w:p w:rsidR="009D086F" w:rsidRPr="009D086F" w:rsidRDefault="009D086F" w:rsidP="009D086F">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32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32.1-32</w:t>
      </w:r>
      <w:r w:rsidRPr="009D086F">
        <w:rPr>
          <w:rFonts w:ascii="Times New Roman" w:eastAsia="Times New Roman" w:hAnsi="Times New Roman" w:cs="Times New Roman"/>
          <w:sz w:val="28"/>
          <w:szCs w:val="28"/>
          <w:lang w:eastAsia="ru-RU"/>
        </w:rPr>
        <w:t>.5 следующего содержания: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Для инвалидов обеспечиваются условия: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допуска </w:t>
      </w:r>
      <w:proofErr w:type="spellStart"/>
      <w:r w:rsidRPr="009D086F">
        <w:rPr>
          <w:rFonts w:ascii="Times New Roman" w:eastAsia="Times New Roman" w:hAnsi="Times New Roman" w:cs="Times New Roman"/>
          <w:sz w:val="28"/>
          <w:szCs w:val="28"/>
          <w:lang w:eastAsia="ru-RU"/>
        </w:rPr>
        <w:t>сурдопереводчика</w:t>
      </w:r>
      <w:proofErr w:type="spellEnd"/>
      <w:r w:rsidRPr="009D086F">
        <w:rPr>
          <w:rFonts w:ascii="Times New Roman" w:eastAsia="Times New Roman" w:hAnsi="Times New Roman" w:cs="Times New Roman"/>
          <w:sz w:val="28"/>
          <w:szCs w:val="28"/>
          <w:lang w:eastAsia="ru-RU"/>
        </w:rPr>
        <w:t xml:space="preserve"> и </w:t>
      </w:r>
      <w:proofErr w:type="spellStart"/>
      <w:r w:rsidRPr="009D086F">
        <w:rPr>
          <w:rFonts w:ascii="Times New Roman" w:eastAsia="Times New Roman" w:hAnsi="Times New Roman" w:cs="Times New Roman"/>
          <w:sz w:val="28"/>
          <w:szCs w:val="28"/>
          <w:lang w:eastAsia="ru-RU"/>
        </w:rPr>
        <w:t>тифлосурдопереводчика</w:t>
      </w:r>
      <w:proofErr w:type="spellEnd"/>
      <w:r w:rsidRPr="009D086F">
        <w:rPr>
          <w:rFonts w:ascii="Times New Roman" w:eastAsia="Times New Roman" w:hAnsi="Times New Roman" w:cs="Times New Roman"/>
          <w:sz w:val="28"/>
          <w:szCs w:val="28"/>
          <w:lang w:eastAsia="ru-RU"/>
        </w:rPr>
        <w:t xml:space="preserve"> в здание Исполнителя;</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32</w:t>
      </w:r>
      <w:r w:rsidRPr="009D086F">
        <w:rPr>
          <w:rFonts w:ascii="Times New Roman" w:eastAsia="Times New Roman" w:hAnsi="Times New Roman" w:cs="Times New Roman"/>
          <w:sz w:val="28"/>
          <w:szCs w:val="28"/>
          <w:lang w:eastAsia="ru-RU"/>
        </w:rPr>
        <w:t xml:space="preserve">.2. Прием (выдача) документов и консультирование заявителей осуществляется в кабинетах Исполнителя. Помещения, где могут </w:t>
      </w:r>
      <w:proofErr w:type="gramStart"/>
      <w:r w:rsidRPr="009D086F">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9D086F">
        <w:rPr>
          <w:rFonts w:ascii="Times New Roman" w:eastAsia="Times New Roman" w:hAnsi="Times New Roman" w:cs="Times New Roman"/>
          <w:sz w:val="28"/>
          <w:szCs w:val="28"/>
          <w:lang w:eastAsia="ru-RU"/>
        </w:rPr>
        <w:t xml:space="preserve"> на уровне входа, ближайшего к поверхности земли.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 xml:space="preserve">.4.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9D086F">
        <w:rPr>
          <w:rFonts w:ascii="Times New Roman" w:eastAsia="Times New Roman" w:hAnsi="Times New Roman" w:cs="Times New Roman"/>
          <w:sz w:val="28"/>
          <w:szCs w:val="28"/>
          <w:lang w:eastAsia="ru-RU"/>
        </w:rPr>
        <w:t>Р</w:t>
      </w:r>
      <w:proofErr w:type="gramEnd"/>
      <w:r w:rsidRPr="009D086F">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bookmarkStart w:id="0" w:name="_GoBack"/>
      <w:bookmarkEnd w:id="0"/>
      <w:r w:rsidRPr="009D086F">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почтовый адрес Комитета;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текст настоящего Административного регламента;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образец заполнения бланка заявления.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Пункт 5.3 дополнить подпунктом 5.3.1 следующего содержания: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lastRenderedPageBreak/>
        <w:t xml:space="preserve">«5.3.1 Заявитель может обратиться с </w:t>
      </w:r>
      <w:proofErr w:type="gramStart"/>
      <w:r w:rsidRPr="009D086F">
        <w:rPr>
          <w:rFonts w:ascii="Times New Roman" w:eastAsia="Times New Roman" w:hAnsi="Times New Roman" w:cs="Times New Roman"/>
          <w:sz w:val="28"/>
          <w:szCs w:val="28"/>
          <w:lang w:eastAsia="ru-RU"/>
        </w:rPr>
        <w:t>жалобой</w:t>
      </w:r>
      <w:proofErr w:type="gramEnd"/>
      <w:r w:rsidRPr="009D086F">
        <w:rPr>
          <w:rFonts w:ascii="Times New Roman" w:eastAsia="Times New Roman" w:hAnsi="Times New Roman" w:cs="Times New Roman"/>
          <w:sz w:val="28"/>
          <w:szCs w:val="28"/>
          <w:lang w:eastAsia="ru-RU"/>
        </w:rPr>
        <w:t xml:space="preserve"> в том числе в следующих случаях:</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9D086F" w:rsidRPr="009D086F" w:rsidRDefault="009D086F" w:rsidP="009D086F">
      <w:pPr>
        <w:widowControl w:val="0"/>
        <w:spacing w:after="0" w:line="240" w:lineRule="auto"/>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D086F">
        <w:rPr>
          <w:rFonts w:ascii="Times New Roman" w:eastAsia="Times New Roman" w:hAnsi="Times New Roman" w:cs="Times New Roman"/>
          <w:sz w:val="28"/>
          <w:szCs w:val="28"/>
          <w:lang w:eastAsia="ru-RU"/>
        </w:rPr>
        <w:t xml:space="preserve"> исправлений. </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государственной или муниципальной </w:t>
      </w:r>
      <w:r w:rsidRPr="009D086F">
        <w:rPr>
          <w:rFonts w:ascii="Times New Roman" w:eastAsia="Times New Roman" w:hAnsi="Times New Roman" w:cs="Times New Roman"/>
          <w:sz w:val="28"/>
          <w:szCs w:val="28"/>
          <w:lang w:eastAsia="ru-RU"/>
        </w:rPr>
        <w:lastRenderedPageBreak/>
        <w:t>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9D086F">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9D086F" w:rsidRPr="009D086F" w:rsidRDefault="009D086F" w:rsidP="009D086F">
      <w:pPr>
        <w:tabs>
          <w:tab w:val="left" w:pos="4193"/>
        </w:tabs>
        <w:spacing w:after="0" w:line="240" w:lineRule="auto"/>
        <w:rPr>
          <w:rFonts w:ascii="Times New Roman" w:eastAsia="Times New Roman" w:hAnsi="Times New Roman" w:cs="Times New Roman"/>
          <w:sz w:val="24"/>
          <w:szCs w:val="24"/>
          <w:lang w:eastAsia="ru-RU"/>
        </w:rPr>
      </w:pPr>
    </w:p>
    <w:p w:rsidR="009D086F" w:rsidRPr="009D086F" w:rsidRDefault="009D086F" w:rsidP="009D086F">
      <w:pPr>
        <w:tabs>
          <w:tab w:val="left" w:pos="4193"/>
        </w:tabs>
        <w:spacing w:after="0" w:line="240" w:lineRule="auto"/>
        <w:jc w:val="center"/>
        <w:rPr>
          <w:rFonts w:ascii="Times New Roman" w:eastAsia="Times New Roman" w:hAnsi="Times New Roman" w:cs="Times New Roman"/>
          <w:sz w:val="24"/>
          <w:szCs w:val="24"/>
          <w:lang w:eastAsia="ru-RU"/>
        </w:rPr>
      </w:pPr>
      <w:r w:rsidRPr="009D086F">
        <w:rPr>
          <w:rFonts w:ascii="Times New Roman" w:eastAsia="Times New Roman" w:hAnsi="Times New Roman" w:cs="Times New Roman"/>
          <w:sz w:val="24"/>
          <w:szCs w:val="24"/>
          <w:lang w:eastAsia="ru-RU"/>
        </w:rPr>
        <w:t>_________________</w:t>
      </w:r>
    </w:p>
    <w:p w:rsidR="009D086F" w:rsidRPr="009D086F" w:rsidRDefault="009D086F" w:rsidP="009D086F">
      <w:pPr>
        <w:spacing w:after="0" w:line="240" w:lineRule="auto"/>
        <w:rPr>
          <w:rFonts w:ascii="Times New Roman" w:eastAsia="Times New Roman" w:hAnsi="Times New Roman" w:cs="Times New Roman"/>
          <w:sz w:val="24"/>
          <w:szCs w:val="24"/>
          <w:lang w:eastAsia="ru-RU"/>
        </w:rPr>
      </w:pPr>
    </w:p>
    <w:p w:rsidR="009D086F" w:rsidRPr="009D086F" w:rsidRDefault="009D086F" w:rsidP="009D086F">
      <w:pPr>
        <w:rPr>
          <w:rFonts w:ascii="Calibri" w:eastAsia="Calibri" w:hAnsi="Calibri" w:cs="Times New Roman"/>
        </w:rPr>
      </w:pPr>
    </w:p>
    <w:p w:rsidR="009D086F" w:rsidRPr="009D086F" w:rsidRDefault="009D086F" w:rsidP="009D086F">
      <w:pPr>
        <w:tabs>
          <w:tab w:val="left" w:pos="4193"/>
        </w:tabs>
        <w:spacing w:after="0" w:line="240" w:lineRule="auto"/>
        <w:rPr>
          <w:rFonts w:ascii="Times New Roman" w:eastAsia="Times New Roman" w:hAnsi="Times New Roman" w:cs="Times New Roman"/>
          <w:sz w:val="24"/>
          <w:szCs w:val="24"/>
          <w:lang w:eastAsia="ru-RU"/>
        </w:rPr>
      </w:pPr>
    </w:p>
    <w:p w:rsidR="009D086F" w:rsidRPr="009D086F" w:rsidRDefault="009D086F" w:rsidP="009D086F">
      <w:pPr>
        <w:widowControl w:val="0"/>
        <w:spacing w:after="0" w:line="240" w:lineRule="auto"/>
        <w:ind w:left="781"/>
        <w:contextualSpacing/>
        <w:jc w:val="both"/>
        <w:rPr>
          <w:rFonts w:ascii="Calibri" w:eastAsia="Calibri" w:hAnsi="Calibri" w:cs="Times New Roman"/>
        </w:rPr>
      </w:pPr>
    </w:p>
    <w:p w:rsidR="00067443" w:rsidRDefault="00067443" w:rsidP="009D086F">
      <w:pPr>
        <w:widowControl w:val="0"/>
        <w:spacing w:after="0" w:line="240" w:lineRule="auto"/>
        <w:ind w:left="781"/>
        <w:contextualSpacing/>
        <w:jc w:val="both"/>
      </w:pPr>
    </w:p>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5B" w:rsidRDefault="00D17B5B">
      <w:pPr>
        <w:spacing w:after="0" w:line="240" w:lineRule="auto"/>
      </w:pPr>
      <w:r>
        <w:separator/>
      </w:r>
    </w:p>
  </w:endnote>
  <w:endnote w:type="continuationSeparator" w:id="0">
    <w:p w:rsidR="00D17B5B" w:rsidRDefault="00D1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5B" w:rsidRDefault="00D17B5B">
      <w:pPr>
        <w:spacing w:after="0" w:line="240" w:lineRule="auto"/>
      </w:pPr>
      <w:r>
        <w:separator/>
      </w:r>
    </w:p>
  </w:footnote>
  <w:footnote w:type="continuationSeparator" w:id="0">
    <w:p w:rsidR="00D17B5B" w:rsidRDefault="00D1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9D086F">
      <w:rPr>
        <w:noProof/>
      </w:rPr>
      <w:t>5</w:t>
    </w:r>
    <w:r>
      <w:rPr>
        <w:noProof/>
      </w:rPr>
      <w:fldChar w:fldCharType="end"/>
    </w:r>
  </w:p>
  <w:p w:rsidR="00D97EFF" w:rsidRDefault="00D17B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3852E7"/>
    <w:rsid w:val="003A4FF6"/>
    <w:rsid w:val="00424E2D"/>
    <w:rsid w:val="00686816"/>
    <w:rsid w:val="006B46A2"/>
    <w:rsid w:val="006D1FB3"/>
    <w:rsid w:val="009D086F"/>
    <w:rsid w:val="00C16F6E"/>
    <w:rsid w:val="00C224A2"/>
    <w:rsid w:val="00CB55C2"/>
    <w:rsid w:val="00D07CA5"/>
    <w:rsid w:val="00D17B5B"/>
    <w:rsid w:val="00D727C6"/>
    <w:rsid w:val="00F2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2021-11-15T05:29:00Z</dcterms:created>
  <dcterms:modified xsi:type="dcterms:W3CDTF">2021-11-16T02:27:00Z</dcterms:modified>
</cp:coreProperties>
</file>