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3C" w:rsidRDefault="00057A3C" w:rsidP="00057A3C">
      <w:pPr>
        <w:pStyle w:val="a3"/>
        <w:jc w:val="right"/>
        <w:rPr>
          <w:b/>
          <w:bCs/>
        </w:rPr>
      </w:pPr>
      <w:r>
        <w:rPr>
          <w:b/>
          <w:bCs/>
        </w:rPr>
        <w:t>ПРОЕКТ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«ХУШЕНГИНСКОЕ»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Default="00057A3C" w:rsidP="001A01A7">
      <w:pPr>
        <w:pStyle w:val="a3"/>
        <w:jc w:val="left"/>
      </w:pPr>
      <w:r>
        <w:t>От «___» _______</w:t>
      </w:r>
      <w:r w:rsidR="0099634D">
        <w:t>202</w:t>
      </w:r>
      <w:r w:rsidR="00972D9E">
        <w:t>2</w:t>
      </w:r>
      <w:r w:rsidR="00851A31">
        <w:t xml:space="preserve"> г.  </w:t>
      </w:r>
      <w:r w:rsidR="001A01A7">
        <w:t xml:space="preserve">                                   </w:t>
      </w:r>
      <w:r>
        <w:t xml:space="preserve">                        №__</w:t>
      </w:r>
      <w:r w:rsidR="00942BC5">
        <w:t>.</w:t>
      </w:r>
    </w:p>
    <w:p w:rsidR="00851A31" w:rsidRPr="00851A31" w:rsidRDefault="00851A31" w:rsidP="00851A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51A31">
        <w:rPr>
          <w:i/>
          <w:sz w:val="28"/>
          <w:szCs w:val="28"/>
        </w:rPr>
        <w:t xml:space="preserve">. </w:t>
      </w:r>
      <w:proofErr w:type="spellStart"/>
      <w:r w:rsidRPr="00851A31">
        <w:rPr>
          <w:i/>
          <w:sz w:val="28"/>
          <w:szCs w:val="28"/>
        </w:rPr>
        <w:t>Хушенга</w:t>
      </w:r>
      <w:proofErr w:type="spellEnd"/>
    </w:p>
    <w:p w:rsidR="001A01A7" w:rsidRDefault="001A01A7" w:rsidP="001A01A7">
      <w:pPr>
        <w:pStyle w:val="a3"/>
        <w:jc w:val="left"/>
      </w:pPr>
    </w:p>
    <w:p w:rsidR="003A4EDB" w:rsidRDefault="00972D9E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исполнении бюджета </w:t>
      </w:r>
    </w:p>
    <w:p w:rsidR="003A4EDB" w:rsidRDefault="001A01A7" w:rsidP="001C26B9">
      <w:pPr>
        <w:pStyle w:val="a3"/>
        <w:jc w:val="both"/>
        <w:rPr>
          <w:b/>
          <w:bCs/>
          <w:i/>
          <w:sz w:val="28"/>
          <w:szCs w:val="28"/>
        </w:rPr>
      </w:pPr>
      <w:r w:rsidRPr="00851A31">
        <w:rPr>
          <w:b/>
          <w:bCs/>
          <w:i/>
          <w:sz w:val="28"/>
          <w:szCs w:val="28"/>
        </w:rPr>
        <w:t>сельского поселения «Хушенгинское</w:t>
      </w:r>
    </w:p>
    <w:p w:rsidR="001A01A7" w:rsidRPr="00851A31" w:rsidRDefault="003A4EDB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  2021 год</w:t>
      </w:r>
      <w:r w:rsidR="001A01A7" w:rsidRPr="00851A31">
        <w:rPr>
          <w:b/>
          <w:bCs/>
          <w:i/>
          <w:sz w:val="28"/>
          <w:szCs w:val="28"/>
        </w:rPr>
        <w:t xml:space="preserve">» </w:t>
      </w: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BE3DB1">
        <w:rPr>
          <w:bCs/>
          <w:sz w:val="28"/>
          <w:szCs w:val="28"/>
        </w:rPr>
        <w:t>поселения «Хушенгинское» за 2020</w:t>
      </w:r>
      <w:r w:rsidRPr="00851A31">
        <w:rPr>
          <w:bCs/>
          <w:sz w:val="28"/>
          <w:szCs w:val="28"/>
        </w:rPr>
        <w:t xml:space="preserve"> 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 xml:space="preserve">овет сельского поселения «Хушенгинское»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>Утвердить отчет об исполнении бюджета сельского поселения «Хушенгинское» за 20</w:t>
      </w:r>
      <w:r w:rsidR="00972D9E">
        <w:rPr>
          <w:sz w:val="28"/>
          <w:szCs w:val="28"/>
        </w:rPr>
        <w:t>21 год по доходам в сумме 12 803,6</w:t>
      </w:r>
      <w:r w:rsidRPr="00851A31">
        <w:rPr>
          <w:sz w:val="28"/>
          <w:szCs w:val="28"/>
        </w:rPr>
        <w:t xml:space="preserve">  тыс. </w:t>
      </w:r>
      <w:r w:rsidR="0099634D">
        <w:rPr>
          <w:sz w:val="28"/>
          <w:szCs w:val="28"/>
        </w:rPr>
        <w:t>ру</w:t>
      </w:r>
      <w:r w:rsidR="00972D9E">
        <w:rPr>
          <w:sz w:val="28"/>
          <w:szCs w:val="28"/>
        </w:rPr>
        <w:t>б., по расходам в сумме 12 883,4</w:t>
      </w:r>
      <w:r w:rsidRPr="00851A31">
        <w:rPr>
          <w:sz w:val="28"/>
          <w:szCs w:val="28"/>
        </w:rPr>
        <w:t xml:space="preserve"> тыс. руб. с превышением </w:t>
      </w:r>
      <w:r w:rsidR="005637E4" w:rsidRPr="00851A31">
        <w:rPr>
          <w:sz w:val="28"/>
          <w:szCs w:val="28"/>
        </w:rPr>
        <w:t>ра</w:t>
      </w:r>
      <w:r w:rsidR="00BE3DB1">
        <w:rPr>
          <w:sz w:val="28"/>
          <w:szCs w:val="28"/>
        </w:rPr>
        <w:t>сходов над доходами в сумме</w:t>
      </w:r>
      <w:r w:rsidR="00972D9E">
        <w:rPr>
          <w:sz w:val="28"/>
          <w:szCs w:val="28"/>
        </w:rPr>
        <w:t xml:space="preserve"> 79,8</w:t>
      </w:r>
      <w:r w:rsidRPr="00851A31">
        <w:rPr>
          <w:sz w:val="28"/>
          <w:szCs w:val="28"/>
        </w:rPr>
        <w:t xml:space="preserve"> тыс. </w:t>
      </w:r>
      <w:r w:rsidR="007151C5">
        <w:rPr>
          <w:sz w:val="28"/>
          <w:szCs w:val="28"/>
        </w:rPr>
        <w:t>руб. (Приложение №№ 1-3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3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«Хушенгинское» №</w:t>
      </w:r>
      <w:r w:rsidR="00057A3C">
        <w:rPr>
          <w:sz w:val="24"/>
        </w:rPr>
        <w:t>___</w:t>
      </w:r>
      <w:r>
        <w:rPr>
          <w:sz w:val="24"/>
        </w:rPr>
        <w:t xml:space="preserve"> 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057A3C">
        <w:rPr>
          <w:sz w:val="24"/>
        </w:rPr>
        <w:t>___</w:t>
      </w:r>
      <w:r w:rsidR="00AA2BA0">
        <w:rPr>
          <w:sz w:val="24"/>
        </w:rPr>
        <w:t>»</w:t>
      </w:r>
      <w:r w:rsidR="00851A31">
        <w:rPr>
          <w:sz w:val="24"/>
        </w:rPr>
        <w:t xml:space="preserve"> </w:t>
      </w:r>
      <w:r w:rsidR="00057A3C">
        <w:rPr>
          <w:sz w:val="24"/>
        </w:rPr>
        <w:t>______</w:t>
      </w:r>
      <w:r w:rsidR="00AA2BA0">
        <w:rPr>
          <w:sz w:val="24"/>
        </w:rPr>
        <w:t xml:space="preserve"> 20</w:t>
      </w:r>
      <w:r w:rsidR="00906518">
        <w:rPr>
          <w:sz w:val="24"/>
        </w:rPr>
        <w:t>2</w:t>
      </w:r>
      <w:r w:rsidR="004C721F">
        <w:rPr>
          <w:sz w:val="24"/>
        </w:rPr>
        <w:t>2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«Хушенгинское» з</w:t>
      </w:r>
      <w:r w:rsidR="00567590">
        <w:rPr>
          <w:sz w:val="24"/>
        </w:rPr>
        <w:t xml:space="preserve">а </w:t>
      </w:r>
      <w:r w:rsidR="004C721F">
        <w:rPr>
          <w:sz w:val="24"/>
        </w:rPr>
        <w:t>2021</w:t>
      </w:r>
      <w:r>
        <w:rPr>
          <w:sz w:val="24"/>
        </w:rPr>
        <w:t xml:space="preserve">г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«ХУШЕНГИНСКОЕ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441BD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4C721F">
        <w:rPr>
          <w:b/>
          <w:sz w:val="24"/>
        </w:rPr>
        <w:t>А 2021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/>
      </w:tblPr>
      <w:tblGrid>
        <w:gridCol w:w="3275"/>
        <w:gridCol w:w="3969"/>
        <w:gridCol w:w="1559"/>
        <w:gridCol w:w="1419"/>
      </w:tblGrid>
      <w:tr w:rsidR="00906518" w:rsidRPr="00906518" w:rsidTr="00D81513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Сумма, </w:t>
            </w:r>
          </w:p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тыс. руб.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114A0B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Сумма, тыс. руб.</w:t>
            </w:r>
          </w:p>
        </w:tc>
      </w:tr>
      <w:tr w:rsidR="00906518" w:rsidRPr="00906518" w:rsidTr="00D81513">
        <w:trPr>
          <w:trHeight w:val="124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назначение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исполнение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4C721F" w:rsidP="004C7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D81513">
              <w:rPr>
                <w:b/>
                <w:bCs/>
                <w:color w:val="000000"/>
              </w:rPr>
              <w:t> </w:t>
            </w:r>
            <w:r w:rsidR="00651482">
              <w:rPr>
                <w:b/>
                <w:bCs/>
                <w:color w:val="000000"/>
              </w:rPr>
              <w:t>774</w:t>
            </w:r>
            <w:r w:rsidR="00D8151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651482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12 803,6</w:t>
            </w:r>
          </w:p>
        </w:tc>
      </w:tr>
      <w:tr w:rsidR="00D81513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513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Default="00CC3E48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C3E48">
              <w:rPr>
                <w:b/>
                <w:bCs/>
                <w:color w:val="000000"/>
              </w:rPr>
              <w:t> 267,4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182 101 00000 00 0000 000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CC3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CC3E48">
              <w:rPr>
                <w:b/>
                <w:bCs/>
                <w:color w:val="000000"/>
              </w:rPr>
              <w:t>4,8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CC3E48" w:rsidP="00CC3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167,8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  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C3E48">
              <w:rPr>
                <w:color w:val="000000"/>
              </w:rPr>
              <w:t>4,8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3E48">
              <w:rPr>
                <w:color w:val="000000"/>
              </w:rPr>
              <w:t>67,8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 доходов, источником которых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является налоговый агент, </w:t>
            </w:r>
            <w:proofErr w:type="gramStart"/>
            <w:r w:rsidRPr="00906518">
              <w:rPr>
                <w:color w:val="000000"/>
              </w:rPr>
              <w:t>за</w:t>
            </w:r>
            <w:proofErr w:type="gramEnd"/>
            <w:r w:rsidRPr="00906518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исключением доходов,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  <w:r w:rsidRPr="00906518">
              <w:rPr>
                <w:color w:val="000000"/>
              </w:rPr>
              <w:t xml:space="preserve"> 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отношении</w:t>
            </w:r>
            <w:proofErr w:type="gramEnd"/>
            <w:r w:rsidRPr="00906518">
              <w:rPr>
                <w:color w:val="000000"/>
              </w:rPr>
              <w:t xml:space="preserve"> которых исчисление 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уплата налога осуществляются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соответствии</w:t>
            </w:r>
            <w:proofErr w:type="gramEnd"/>
            <w:r w:rsidRPr="00906518">
              <w:rPr>
                <w:color w:val="000000"/>
              </w:rPr>
              <w:t xml:space="preserve"> со статьями 227,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227.1 и 228 Налогового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CC3E48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CC3E48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990,0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color w:val="000000"/>
              </w:rPr>
              <w:t>182 106 01030 10 0000 110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color w:val="000000"/>
              </w:rPr>
              <w:t>Налог на имущество физических лиц, взимаемый по ставкам, применяемым к объекту налогообложения, расположенным,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CC3E48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412,3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CC3E48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600,7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182 106 06013 10 0000 110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Земельный налог, взимаемый по ставкам, установленным  в соответствии с подпунктом 1 пункта 1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C3E48">
              <w:rPr>
                <w:color w:val="000000"/>
              </w:rPr>
              <w:t>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C3E48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389,3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802 108 00000 00 0000 000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318EF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802 108 04020 01 0000 110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государственная пошлина за </w:t>
            </w:r>
            <w:r w:rsidRPr="00906518">
              <w:rPr>
                <w:color w:val="000000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318E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b/>
                <w:bCs/>
                <w:color w:val="000000"/>
              </w:rPr>
              <w:lastRenderedPageBreak/>
              <w:t>802 111 00000 00 0000 000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E90F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E90F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91,</w:t>
            </w:r>
            <w:r w:rsidR="00C318EF">
              <w:rPr>
                <w:b/>
                <w:bCs/>
                <w:color w:val="000000"/>
              </w:rPr>
              <w:t>7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</w:t>
            </w:r>
            <w:r w:rsidRPr="00906518">
              <w:rPr>
                <w:b/>
                <w:bCs/>
                <w:color w:val="000000"/>
              </w:rPr>
              <w:t>802 111 09045 10 0000 150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</w:t>
            </w:r>
            <w:r w:rsidR="00C318EF">
              <w:rPr>
                <w:color w:val="000000"/>
              </w:rPr>
              <w:t>7</w:t>
            </w:r>
          </w:p>
        </w:tc>
      </w:tr>
      <w:tr w:rsidR="009E26E1" w:rsidRPr="00906518" w:rsidTr="00882BBB">
        <w:trPr>
          <w:trHeight w:val="27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FE3D99" w:rsidRDefault="009E26E1" w:rsidP="00E90F99">
            <w:pPr>
              <w:jc w:val="center"/>
              <w:rPr>
                <w:b/>
                <w:color w:val="000000"/>
              </w:rPr>
            </w:pPr>
            <w:r w:rsidRPr="00FE3D99">
              <w:rPr>
                <w:b/>
                <w:color w:val="000000"/>
              </w:rPr>
              <w:t>802 117 05050 10 0000 180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FE3D99" w:rsidRDefault="009E26E1" w:rsidP="00E90F99">
            <w:pPr>
              <w:jc w:val="center"/>
              <w:rPr>
                <w:b/>
                <w:color w:val="000000"/>
              </w:rPr>
            </w:pPr>
            <w:r w:rsidRPr="00FE3D99">
              <w:rPr>
                <w:b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FE3D99" w:rsidRDefault="00C318EF" w:rsidP="00E90F99">
            <w:pPr>
              <w:jc w:val="center"/>
              <w:rPr>
                <w:b/>
                <w:color w:val="000000"/>
              </w:rPr>
            </w:pPr>
            <w:r w:rsidRPr="00FE3D99">
              <w:rPr>
                <w:b/>
                <w:color w:val="000000"/>
              </w:rPr>
              <w:t>10</w:t>
            </w:r>
            <w:r w:rsidR="009E26E1" w:rsidRPr="00FE3D99">
              <w:rPr>
                <w:b/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FE3D99" w:rsidRDefault="00C318EF" w:rsidP="00C318EF">
            <w:pPr>
              <w:jc w:val="center"/>
              <w:rPr>
                <w:b/>
                <w:color w:val="000000"/>
              </w:rPr>
            </w:pPr>
            <w:r w:rsidRPr="00FE3D99">
              <w:rPr>
                <w:b/>
                <w:color w:val="000000"/>
              </w:rPr>
              <w:t>10</w:t>
            </w:r>
            <w:r w:rsidR="009E26E1" w:rsidRPr="00FE3D99">
              <w:rPr>
                <w:b/>
                <w:color w:val="000000"/>
              </w:rPr>
              <w:t>,</w:t>
            </w:r>
            <w:r w:rsidRPr="00FE3D99">
              <w:rPr>
                <w:b/>
                <w:color w:val="000000"/>
              </w:rPr>
              <w:t>0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802 117 13000 00 0000 180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318E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E26E1">
              <w:rPr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318E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DC684A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DC684A">
              <w:rPr>
                <w:b/>
                <w:bCs/>
                <w:color w:val="000000"/>
              </w:rPr>
              <w:t>000 200 00000 00 0000 000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C851CE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11 536,2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C851CE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11 536,2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0C0D11" w:rsidRDefault="0085656F" w:rsidP="000C0D11">
            <w:pPr>
              <w:jc w:val="center"/>
              <w:rPr>
                <w:b/>
                <w:bCs/>
                <w:i/>
                <w:color w:val="000000"/>
              </w:rPr>
            </w:pPr>
            <w:r w:rsidRPr="000C0D11">
              <w:rPr>
                <w:b/>
                <w:bCs/>
                <w:i/>
                <w:color w:val="000000"/>
              </w:rPr>
              <w:t>00</w:t>
            </w:r>
            <w:r w:rsidR="000C0D11">
              <w:rPr>
                <w:b/>
                <w:bCs/>
                <w:i/>
                <w:color w:val="000000"/>
              </w:rPr>
              <w:t>0</w:t>
            </w:r>
            <w:r w:rsidRPr="000C0D11">
              <w:rPr>
                <w:b/>
                <w:bCs/>
                <w:i/>
                <w:color w:val="000000"/>
              </w:rPr>
              <w:t> 202 10</w:t>
            </w:r>
            <w:r w:rsidR="009E26E1" w:rsidRPr="000C0D11">
              <w:rPr>
                <w:b/>
                <w:bCs/>
                <w:i/>
                <w:color w:val="000000"/>
              </w:rPr>
              <w:t>00</w:t>
            </w:r>
            <w:r w:rsidRPr="000C0D11">
              <w:rPr>
                <w:b/>
                <w:bCs/>
                <w:i/>
                <w:color w:val="000000"/>
              </w:rPr>
              <w:t>0</w:t>
            </w:r>
            <w:r w:rsidR="009E26E1" w:rsidRPr="000C0D11">
              <w:rPr>
                <w:b/>
                <w:bCs/>
                <w:i/>
                <w:color w:val="000000"/>
              </w:rPr>
              <w:t xml:space="preserve"> 00 0000 </w:t>
            </w:r>
            <w:r w:rsidRPr="000C0D11">
              <w:rPr>
                <w:b/>
                <w:bCs/>
                <w:i/>
                <w:color w:val="000000"/>
              </w:rPr>
              <w:t>15</w:t>
            </w:r>
            <w:r w:rsidR="009E26E1" w:rsidRPr="000C0D11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0C0D11" w:rsidRDefault="0085656F" w:rsidP="00E90F99">
            <w:pPr>
              <w:jc w:val="center"/>
              <w:rPr>
                <w:b/>
                <w:bCs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0C0D11" w:rsidRDefault="0085656F" w:rsidP="00E90F99">
            <w:pPr>
              <w:jc w:val="center"/>
              <w:rPr>
                <w:b/>
                <w:bCs/>
                <w:i/>
                <w:color w:val="000000"/>
              </w:rPr>
            </w:pPr>
            <w:r w:rsidRPr="000C0D11">
              <w:rPr>
                <w:b/>
                <w:bCs/>
                <w:i/>
                <w:color w:val="000000"/>
              </w:rPr>
              <w:t>8 225,9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0C0D11" w:rsidRDefault="0085656F" w:rsidP="00E90F99">
            <w:pPr>
              <w:jc w:val="center"/>
              <w:rPr>
                <w:b/>
                <w:bCs/>
                <w:i/>
                <w:color w:val="000000"/>
              </w:rPr>
            </w:pPr>
            <w:r w:rsidRPr="000C0D11">
              <w:rPr>
                <w:b/>
                <w:bCs/>
                <w:i/>
                <w:color w:val="000000"/>
              </w:rPr>
              <w:t>8 225,9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color w:val="000000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000 202 15002</w:t>
            </w:r>
            <w:r w:rsidR="009E26E1" w:rsidRPr="0085656F">
              <w:rPr>
                <w:color w:val="000000"/>
              </w:rPr>
              <w:t xml:space="preserve">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85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5 245,6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5 245,6</w:t>
            </w:r>
          </w:p>
        </w:tc>
      </w:tr>
      <w:tr w:rsidR="009E26E1" w:rsidRPr="00906518" w:rsidTr="00906518">
        <w:trPr>
          <w:trHeight w:val="322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9E26E1" w:rsidP="0085656F">
            <w:pPr>
              <w:jc w:val="center"/>
              <w:rPr>
                <w:color w:val="000000"/>
              </w:rPr>
            </w:pPr>
            <w:r w:rsidRPr="0085656F">
              <w:rPr>
                <w:color w:val="000000"/>
              </w:rPr>
              <w:t xml:space="preserve">000 202 </w:t>
            </w:r>
            <w:r w:rsidR="0085656F">
              <w:rPr>
                <w:color w:val="000000"/>
              </w:rPr>
              <w:t>16001</w:t>
            </w:r>
            <w:r w:rsidRPr="0085656F">
              <w:rPr>
                <w:color w:val="000000"/>
              </w:rPr>
              <w:t xml:space="preserve"> </w:t>
            </w:r>
            <w:r w:rsidR="0085656F">
              <w:rPr>
                <w:color w:val="000000"/>
              </w:rPr>
              <w:t>1</w:t>
            </w:r>
            <w:r w:rsidRPr="0085656F">
              <w:rPr>
                <w:color w:val="000000"/>
              </w:rPr>
              <w:t>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85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FE3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2 946,9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FE3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2 946,9</w:t>
            </w:r>
          </w:p>
        </w:tc>
      </w:tr>
      <w:tr w:rsidR="009E26E1" w:rsidRPr="00906518" w:rsidTr="00906518">
        <w:trPr>
          <w:trHeight w:val="52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9E26E1" w:rsidP="0085656F">
            <w:pPr>
              <w:jc w:val="center"/>
              <w:rPr>
                <w:bCs/>
                <w:color w:val="000000"/>
              </w:rPr>
            </w:pPr>
            <w:r w:rsidRPr="0085656F">
              <w:rPr>
                <w:bCs/>
                <w:color w:val="000000"/>
              </w:rPr>
              <w:t xml:space="preserve">00 202 </w:t>
            </w:r>
            <w:r w:rsidR="0085656F">
              <w:rPr>
                <w:bCs/>
                <w:color w:val="000000"/>
              </w:rPr>
              <w:t>16549</w:t>
            </w:r>
            <w:r w:rsidRPr="0085656F">
              <w:rPr>
                <w:bCs/>
                <w:color w:val="000000"/>
              </w:rPr>
              <w:t xml:space="preserve"> </w:t>
            </w:r>
            <w:r w:rsidR="0085656F">
              <w:rPr>
                <w:bCs/>
                <w:color w:val="000000"/>
              </w:rPr>
              <w:t>1</w:t>
            </w:r>
            <w:r w:rsidRPr="0085656F">
              <w:rPr>
                <w:bCs/>
                <w:color w:val="000000"/>
              </w:rPr>
              <w:t>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90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90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</w:t>
            </w:r>
            <w:r w:rsidR="000C0D11">
              <w:rPr>
                <w:bCs/>
                <w:color w:val="00000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90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</w:t>
            </w:r>
            <w:r w:rsidR="000C0D11">
              <w:rPr>
                <w:bCs/>
                <w:color w:val="000000"/>
              </w:rPr>
              <w:t>4</w:t>
            </w: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8565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Default="000C0D11" w:rsidP="009065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Default="000C0D11" w:rsidP="009065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Default="000C0D11" w:rsidP="00906518">
            <w:pPr>
              <w:jc w:val="center"/>
              <w:rPr>
                <w:bCs/>
                <w:color w:val="000000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</w:rPr>
            </w:pP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0C0D11" w:rsidRDefault="000C0D11" w:rsidP="00E90F99">
            <w:pPr>
              <w:jc w:val="center"/>
              <w:rPr>
                <w:b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>000 202 20000 00 0000 150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0C0D11" w:rsidRDefault="000C0D11" w:rsidP="00E90F99">
            <w:pPr>
              <w:jc w:val="center"/>
              <w:rPr>
                <w:b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0C0D11" w:rsidRDefault="000C0D11" w:rsidP="00E90F99">
            <w:pPr>
              <w:jc w:val="center"/>
              <w:rPr>
                <w:b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>1 504,6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0C0D11" w:rsidRDefault="000C0D11" w:rsidP="00E90F99">
            <w:pPr>
              <w:jc w:val="center"/>
              <w:rPr>
                <w:b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 xml:space="preserve"> 1 504,6</w:t>
            </w: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000 202 25467 00 0000 150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</w:t>
            </w:r>
            <w:r w:rsidR="00780C5E">
              <w:rPr>
                <w:color w:val="000000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</w:t>
            </w:r>
            <w:r w:rsidR="00780C5E">
              <w:rPr>
                <w:color w:val="000000"/>
              </w:rPr>
              <w:t>8</w:t>
            </w: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000 202 25576 00 0000 150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на </w:t>
            </w:r>
            <w:r>
              <w:rPr>
                <w:color w:val="00000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896,0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896,0</w:t>
            </w:r>
          </w:p>
        </w:tc>
      </w:tr>
      <w:tr w:rsidR="000C0D11" w:rsidRPr="00906518" w:rsidTr="00780C5E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000 202 29999 00 0000 150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</w:tr>
      <w:tr w:rsidR="000C0D11" w:rsidRPr="00906518" w:rsidTr="00780C5E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 w:rsidRPr="00780C5E">
              <w:rPr>
                <w:b/>
                <w:i/>
                <w:color w:val="000000"/>
              </w:rPr>
              <w:t>000 202 30000 00 0000 150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 w:rsidRPr="00780C5E">
              <w:rPr>
                <w:b/>
                <w:i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144,9</w:t>
            </w:r>
          </w:p>
        </w:tc>
      </w:tr>
      <w:tr w:rsidR="000C0D11" w:rsidRPr="00906518" w:rsidTr="00780C5E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780C5E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00 202 35118 10 0000 150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780C5E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780C5E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780C5E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 w:rsidRPr="00780C5E">
              <w:rPr>
                <w:b/>
                <w:i/>
                <w:color w:val="000000"/>
              </w:rPr>
              <w:t>000 202 40000 00 0000 150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 w:rsidRPr="00780C5E">
              <w:rPr>
                <w:b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1 660,8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1 660,8</w:t>
            </w:r>
          </w:p>
        </w:tc>
      </w:tr>
      <w:tr w:rsidR="0061228A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000 202 40014 10 0000 150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3A4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641,1</w:t>
            </w:r>
          </w:p>
        </w:tc>
      </w:tr>
      <w:tr w:rsidR="0061228A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000 202 49999 10 0000 150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780C5E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1 019,7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1 019,7</w:t>
            </w:r>
          </w:p>
        </w:tc>
      </w:tr>
      <w:tr w:rsidR="0061228A" w:rsidRPr="00906518" w:rsidTr="00906518">
        <w:trPr>
          <w:trHeight w:val="52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28A" w:rsidRPr="00906518" w:rsidRDefault="0061228A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28A" w:rsidRPr="00906518" w:rsidRDefault="0061228A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28A" w:rsidRPr="00906518" w:rsidRDefault="0061228A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12 774,0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28A" w:rsidRPr="00906518" w:rsidRDefault="0061228A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12 803,6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700B2F" w:rsidRDefault="00D368A3" w:rsidP="00441BD8">
      <w:pPr>
        <w:pStyle w:val="a6"/>
        <w:rPr>
          <w:b/>
          <w:sz w:val="24"/>
          <w:lang w:val="en-US"/>
        </w:rPr>
      </w:pPr>
    </w:p>
    <w:p w:rsidR="00F30331" w:rsidRDefault="00F30331" w:rsidP="00441BD8">
      <w:pPr>
        <w:pStyle w:val="a6"/>
        <w:rPr>
          <w:b/>
          <w:sz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565"/>
      </w:tblGrid>
      <w:tr w:rsidR="001A01A7" w:rsidTr="00FB633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8A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700B2F" w:rsidRPr="00B7389E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00B2F">
              <w:rPr>
                <w:sz w:val="24"/>
              </w:rPr>
              <w:t xml:space="preserve">Приложение </w:t>
            </w:r>
            <w:r w:rsidR="00700B2F" w:rsidRPr="00B7389E">
              <w:rPr>
                <w:sz w:val="24"/>
              </w:rPr>
              <w:t>2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«Хушенгинское» </w:t>
            </w:r>
            <w:r w:rsidR="00057A3C">
              <w:rPr>
                <w:sz w:val="24"/>
              </w:rPr>
              <w:t>№____</w:t>
            </w:r>
            <w:r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 w:rsidR="0061228A">
              <w:rPr>
                <w:sz w:val="24"/>
              </w:rPr>
              <w:t>«</w:t>
            </w:r>
            <w:r w:rsidR="00057A3C">
              <w:rPr>
                <w:sz w:val="24"/>
              </w:rPr>
              <w:t>___</w:t>
            </w:r>
            <w:r>
              <w:rPr>
                <w:sz w:val="24"/>
              </w:rPr>
              <w:t xml:space="preserve">» </w:t>
            </w:r>
            <w:r w:rsidR="00057A3C">
              <w:rPr>
                <w:sz w:val="24"/>
              </w:rPr>
              <w:t>______</w:t>
            </w:r>
            <w:r>
              <w:rPr>
                <w:sz w:val="24"/>
              </w:rPr>
              <w:t xml:space="preserve"> 202</w:t>
            </w:r>
            <w:r w:rsidR="0061228A">
              <w:rPr>
                <w:sz w:val="24"/>
              </w:rPr>
              <w:t>2</w:t>
            </w:r>
            <w:r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«Хушенгинское» за 202</w:t>
            </w:r>
            <w:r w:rsidR="0061228A">
              <w:rPr>
                <w:sz w:val="24"/>
              </w:rPr>
              <w:t>1</w:t>
            </w:r>
            <w:r>
              <w:rPr>
                <w:sz w:val="24"/>
              </w:rPr>
              <w:t xml:space="preserve">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61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ФУНКЦИОНАЛЬНАЯ СТРУКТУРА РАСХОДОВ БЮДЖЕТА СЕЛЬСКОГО ПОСЕЛЕНИЯ "ХУШЕНГИНСКОЕ" </w:t>
            </w:r>
            <w:r w:rsidR="0061228A">
              <w:rPr>
                <w:b/>
                <w:bCs/>
              </w:rPr>
              <w:t>НА 2021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FB633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6 859,9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A8407E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6 859,9</w:t>
            </w:r>
          </w:p>
        </w:tc>
      </w:tr>
      <w:tr w:rsidR="001A01A7" w:rsidTr="00FB6330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61228A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61228A" w:rsidP="0034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531,5</w:t>
            </w:r>
          </w:p>
        </w:tc>
      </w:tr>
      <w:tr w:rsidR="001A01A7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954580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1741,3</w:t>
            </w:r>
          </w:p>
        </w:tc>
      </w:tr>
      <w:tr w:rsidR="00A8407E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0107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Проведение выборов и референдумов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1A01A7" w:rsidTr="00FB6330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A8407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4 309,0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A8407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4 309,0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A8407E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A8407E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144,9</w:t>
            </w:r>
          </w:p>
        </w:tc>
      </w:tr>
      <w:tr w:rsidR="001A01A7" w:rsidTr="00FB6330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</w:tr>
      <w:tr w:rsidR="001A01A7" w:rsidTr="00FB6330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A8407E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293,1</w:t>
            </w:r>
          </w:p>
        </w:tc>
      </w:tr>
      <w:tr w:rsidR="001A01A7" w:rsidTr="00FB6330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288,1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2 251,0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1 918,4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A8407E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1 918,4</w:t>
            </w:r>
          </w:p>
        </w:tc>
      </w:tr>
      <w:tr w:rsidR="00A8407E" w:rsidTr="00FB6330">
        <w:trPr>
          <w:trHeight w:val="33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2 979,6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2 949,6</w:t>
            </w:r>
          </w:p>
        </w:tc>
      </w:tr>
      <w:tr w:rsidR="00A8407E" w:rsidRPr="00B7389E" w:rsidTr="00FB6330">
        <w:trPr>
          <w:trHeight w:val="42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0801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A8407E" w:rsidP="00B7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2 979,6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B7389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2 979,6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A8407E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A8407E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20736C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12 883,4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12 883,4</w:t>
            </w:r>
          </w:p>
        </w:tc>
      </w:tr>
      <w:tr w:rsidR="00A8407E" w:rsidTr="00FB633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8407E" w:rsidRDefault="00A8407E">
            <w:pPr>
              <w:jc w:val="center"/>
              <w:rPr>
                <w:b/>
                <w:bCs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7E" w:rsidRPr="00FB6330" w:rsidRDefault="00A8407E" w:rsidP="00FB6330">
            <w:pPr>
              <w:jc w:val="right"/>
              <w:rPr>
                <w:bCs/>
              </w:rPr>
            </w:pPr>
            <w:r w:rsidRPr="00FB6330">
              <w:rPr>
                <w:bCs/>
              </w:rPr>
              <w:t>Приложение 3</w:t>
            </w:r>
          </w:p>
          <w:p w:rsidR="00A8407E" w:rsidRPr="00272AC7" w:rsidRDefault="00A8407E" w:rsidP="00FB6330">
            <w:pPr>
              <w:ind w:right="-81"/>
              <w:jc w:val="right"/>
            </w:pPr>
            <w:r w:rsidRPr="00272AC7">
              <w:t xml:space="preserve">К Решению Совета сельского </w:t>
            </w:r>
          </w:p>
          <w:p w:rsidR="00A8407E" w:rsidRPr="00272AC7" w:rsidRDefault="00A8407E" w:rsidP="00FB6330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 w:rsidR="00057A3C">
              <w:rPr>
                <w:sz w:val="24"/>
              </w:rPr>
              <w:t xml:space="preserve">    Поселения «Хушенгинское» №___</w:t>
            </w:r>
            <w:r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>
              <w:rPr>
                <w:sz w:val="24"/>
              </w:rPr>
              <w:t>«</w:t>
            </w:r>
            <w:r w:rsidR="00057A3C">
              <w:rPr>
                <w:sz w:val="24"/>
              </w:rPr>
              <w:t>___</w:t>
            </w:r>
            <w:r>
              <w:rPr>
                <w:sz w:val="24"/>
              </w:rPr>
              <w:t xml:space="preserve">» </w:t>
            </w:r>
            <w:r w:rsidR="00057A3C">
              <w:rPr>
                <w:sz w:val="24"/>
              </w:rPr>
              <w:t>_______</w:t>
            </w:r>
            <w:r>
              <w:rPr>
                <w:sz w:val="24"/>
              </w:rPr>
              <w:t xml:space="preserve"> 2022</w:t>
            </w:r>
            <w:r w:rsidRPr="00272AC7">
              <w:rPr>
                <w:sz w:val="24"/>
              </w:rPr>
              <w:t>г.</w:t>
            </w:r>
          </w:p>
          <w:p w:rsidR="00A8407E" w:rsidRPr="00272AC7" w:rsidRDefault="00A8407E" w:rsidP="00FB6330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A8407E" w:rsidRDefault="00A8407E" w:rsidP="00FB6330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поселения «Хушенгинское» за 2021г                                                                                   </w:t>
            </w: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"ХУШЕНГИНСКОЕ"</w:t>
            </w: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tbl>
            <w:tblPr>
              <w:tblW w:w="10054" w:type="dxa"/>
              <w:tblLayout w:type="fixed"/>
              <w:tblLook w:val="04A0"/>
            </w:tblPr>
            <w:tblGrid>
              <w:gridCol w:w="2996"/>
              <w:gridCol w:w="709"/>
              <w:gridCol w:w="567"/>
              <w:gridCol w:w="567"/>
              <w:gridCol w:w="1417"/>
              <w:gridCol w:w="709"/>
              <w:gridCol w:w="709"/>
              <w:gridCol w:w="1246"/>
              <w:gridCol w:w="1134"/>
            </w:tblGrid>
            <w:tr w:rsidR="00A8407E" w:rsidTr="0014247E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ГлРсп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Рзд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Прз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Цс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ЭкСт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Назнач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Исполн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A8407E" w:rsidTr="0014247E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A8407E" w:rsidTr="0014247E">
              <w:trPr>
                <w:trHeight w:val="51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8407E" w:rsidTr="0014247E">
              <w:trPr>
                <w:trHeight w:val="112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690,8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690,8</w:t>
                  </w:r>
                </w:p>
              </w:tc>
            </w:tr>
            <w:tr w:rsidR="00A8407E" w:rsidTr="0014247E">
              <w:trPr>
                <w:trHeight w:val="238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531,5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Начисления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159,3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159,3</w:t>
                  </w:r>
                </w:p>
              </w:tc>
            </w:tr>
            <w:tr w:rsidR="00A8407E" w:rsidTr="0014247E">
              <w:trPr>
                <w:trHeight w:val="31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Pr="006C2B72" w:rsidRDefault="00A8407E" w:rsidP="00A840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Pr="006C2B72" w:rsidRDefault="00A8407E" w:rsidP="00A840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690,8</w:t>
                  </w:r>
                </w:p>
              </w:tc>
            </w:tr>
            <w:tr w:rsidR="00A8407E" w:rsidTr="0014247E">
              <w:trPr>
                <w:trHeight w:val="391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8407E" w:rsidTr="0014247E">
              <w:trPr>
                <w:trHeight w:val="13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1 741,3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1 741,3</w:t>
                  </w:r>
                </w:p>
              </w:tc>
            </w:tr>
            <w:tr w:rsidR="00A8407E" w:rsidTr="0014247E">
              <w:trPr>
                <w:trHeight w:val="23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1 741,3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1 741,3</w:t>
                  </w:r>
                </w:p>
              </w:tc>
            </w:tr>
            <w:tr w:rsidR="00A8407E" w:rsidTr="0014247E">
              <w:trPr>
                <w:trHeight w:val="21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1 119,0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1 119,0</w:t>
                  </w:r>
                </w:p>
              </w:tc>
            </w:tr>
            <w:tr w:rsidR="00A8407E" w:rsidTr="0014247E">
              <w:trPr>
                <w:trHeight w:val="73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1,8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333,1</w:t>
                  </w:r>
                </w:p>
              </w:tc>
            </w:tr>
            <w:tr w:rsidR="00A8407E" w:rsidTr="0014247E">
              <w:trPr>
                <w:trHeight w:val="212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52,5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54,6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5,5</w:t>
                  </w:r>
                </w:p>
              </w:tc>
            </w:tr>
            <w:tr w:rsidR="00DF2ABF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50,5</w:t>
                  </w:r>
                </w:p>
              </w:tc>
            </w:tr>
            <w:tr w:rsidR="00A8407E" w:rsidTr="0014247E">
              <w:trPr>
                <w:trHeight w:val="25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Прочие услуги Увеличение стоимости прочих материальных однократного применения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50,6</w:t>
                  </w:r>
                </w:p>
              </w:tc>
            </w:tr>
            <w:tr w:rsidR="00B54EF7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65,6</w:t>
                  </w:r>
                </w:p>
              </w:tc>
            </w:tr>
            <w:tr w:rsidR="00B54EF7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страхование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227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Увеличение стоимости </w:t>
                  </w:r>
                  <w:r w:rsidR="00DF2ABF">
                    <w:rPr>
                      <w:i/>
                      <w:iCs/>
                      <w:color w:val="000000"/>
                    </w:rPr>
                    <w:t>горюче-смазочных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</w:t>
                  </w:r>
                  <w:r w:rsidR="00DF2ABF">
                    <w:rPr>
                      <w:i/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07E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52,2</w:t>
                  </w:r>
                </w:p>
              </w:tc>
            </w:tr>
            <w:tr w:rsidR="00B54EF7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DF2ABF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DF2ABF">
                    <w:rPr>
                      <w:bCs/>
                      <w:i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B54EF7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B54EF7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B54EF7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B54EF7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DF2ABF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DF2ABF">
                    <w:rPr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DF2ABF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DF2ABF">
                    <w:rPr>
                      <w:bCs/>
                      <w:i/>
                      <w:iCs/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DF2ABF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DF2ABF">
                    <w:rPr>
                      <w:bCs/>
                      <w:i/>
                      <w:iCs/>
                      <w:color w:val="000000"/>
                    </w:rPr>
                    <w:t>6,7</w:t>
                  </w:r>
                </w:p>
              </w:tc>
            </w:tr>
            <w:tr w:rsidR="00B54EF7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Проведение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766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766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766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118,8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7660E" w:rsidP="001E0C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118,8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0000002002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E0CAC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E0CAC">
                    <w:rPr>
                      <w:i/>
                      <w:iCs/>
                      <w:color w:val="000000"/>
                    </w:rPr>
                    <w:t>290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Иные выплаты текущего характера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  <w:p w:rsidR="001E0CAC" w:rsidRP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E0CAC">
                    <w:rPr>
                      <w:i/>
                      <w:iCs/>
                      <w:color w:val="000000"/>
                    </w:rPr>
                    <w:t>297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  <w:p w:rsidR="001E0CAC" w:rsidRPr="001E0CAC" w:rsidRDefault="001E0CAC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E0C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E0C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7660E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E0CAC" w:rsidRDefault="0017660E" w:rsidP="0017660E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0000002003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7660E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</w:tr>
            <w:tr w:rsidR="0017660E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E0CAC" w:rsidRDefault="0017660E" w:rsidP="0017660E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7660E">
                    <w:rPr>
                      <w:i/>
                      <w:iCs/>
                      <w:color w:val="000000"/>
                    </w:rPr>
                    <w:t>290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</w:tr>
            <w:tr w:rsidR="0017660E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E0CAC" w:rsidRDefault="0017660E" w:rsidP="0017660E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Иные выплаты текущего характера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7660E">
                    <w:rPr>
                      <w:i/>
                      <w:iCs/>
                      <w:color w:val="000000"/>
                    </w:rPr>
                    <w:t>297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</w:tr>
            <w:tr w:rsidR="0017660E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17660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1E0C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</w:tr>
            <w:tr w:rsidR="0017660E" w:rsidTr="0014247E">
              <w:trPr>
                <w:trHeight w:val="25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7660E" w:rsidTr="0014247E">
              <w:trPr>
                <w:trHeight w:val="10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 (реализация государственных функций связанных с общегосударственным управлением)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4 309,0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4 309,0</w:t>
                  </w:r>
                </w:p>
              </w:tc>
            </w:tr>
            <w:tr w:rsidR="0017660E" w:rsidTr="0014247E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660E">
                    <w:rPr>
                      <w:b/>
                      <w:bCs/>
                      <w:color w:val="000000"/>
                    </w:rPr>
                    <w:t>0000042162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7660E" w:rsidTr="0014247E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300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7660E" w:rsidTr="0014247E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7660E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7660E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9,0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E17A7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2,3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E17A7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6,7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603D43">
                    <w:rPr>
                      <w:b/>
                      <w:i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603D43">
                    <w:rPr>
                      <w:b/>
                      <w:bCs/>
                      <w:i/>
                      <w:color w:val="000000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603D43">
                    <w:rPr>
                      <w:b/>
                      <w:bCs/>
                      <w:i/>
                      <w:color w:val="000000"/>
                    </w:rPr>
                    <w:t>9,0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603D43">
                    <w:rPr>
                      <w:i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124,7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E17A7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603D43">
                    <w:rPr>
                      <w:i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124,7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124,7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0000079001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603D43">
                    <w:rPr>
                      <w:i/>
                      <w:iCs/>
                      <w:color w:val="000000"/>
                    </w:rPr>
                    <w:t xml:space="preserve">Увеличение стоимости </w:t>
                  </w:r>
                  <w:r>
                    <w:rPr>
                      <w:i/>
                      <w:iCs/>
                      <w:color w:val="000000"/>
                    </w:rPr>
                    <w:t>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2 927,0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2 927,0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603D43"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211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2 927,0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2 927,0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2 927,0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2 927,0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</w:t>
                  </w:r>
                  <w:r w:rsidR="00E17A72">
                    <w:rPr>
                      <w:b/>
                      <w:bCs/>
                      <w:color w:val="000000"/>
                    </w:rPr>
                    <w:t>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883,5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883,5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883,5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883,5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lastRenderedPageBreak/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77,1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77,1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223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2,4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Арендная плата за пользование имуществом (за исключением земельных участков и других обособленных природных объектов)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224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13,3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2,9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25,9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Увеличение стоимости ГСМ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343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8,7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23,9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77,1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77,1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26,0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F5902"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26,0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26,0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147,4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F5902">
                    <w:rPr>
                      <w:i/>
                      <w:iCs/>
                      <w:color w:val="000000"/>
                    </w:rPr>
                    <w:t>Иные выплаты текущего характера организации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297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147,4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147,4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147,4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10,3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F5902">
                    <w:rPr>
                      <w:i/>
                      <w:iCs/>
                      <w:color w:val="000000"/>
                    </w:rPr>
                    <w:t>Иные выплаты текущего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297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10,3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10,3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</w:tr>
            <w:tr w:rsidR="00603D43" w:rsidTr="0014247E">
              <w:trPr>
                <w:trHeight w:val="69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1F77B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111,4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1,0</w:t>
                  </w:r>
                </w:p>
              </w:tc>
            </w:tr>
            <w:tr w:rsidR="001F77B7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оплату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32,5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1F77B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</w:tr>
            <w:tr w:rsidR="00603D43" w:rsidTr="0014247E">
              <w:trPr>
                <w:trHeight w:val="31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120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Защита населения и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10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Предупреждение и ликвидация последствий чрезвычайных ситуации, и стихийных бедствий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115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Функционирование органов в сфере национальной безопасности, правоохранительной деятельности и обороны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72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927EA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927EA0">
                    <w:rPr>
                      <w:b/>
                      <w:iCs/>
                      <w:color w:val="000000"/>
                    </w:rPr>
                    <w:t>Защита населения и территории от чрезвычайных ситуаций природного и техногенного характера.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288,1</w:t>
                  </w:r>
                </w:p>
              </w:tc>
            </w:tr>
            <w:tr w:rsidR="00603D43" w:rsidTr="0014247E">
              <w:trPr>
                <w:trHeight w:val="33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1F77B7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1F77B7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288,1</w:t>
                  </w:r>
                </w:p>
              </w:tc>
            </w:tr>
            <w:tr w:rsidR="00603D43" w:rsidTr="0014247E">
              <w:trPr>
                <w:trHeight w:val="401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445920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1F77B7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1F77B7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</w:t>
                  </w:r>
                  <w:r w:rsidR="001F77B7">
                    <w:rPr>
                      <w:b/>
                      <w:iCs/>
                      <w:color w:val="000000"/>
                    </w:rPr>
                    <w:t>88,1</w:t>
                  </w:r>
                </w:p>
              </w:tc>
            </w:tr>
            <w:tr w:rsidR="00603D43" w:rsidTr="0014247E">
              <w:trPr>
                <w:trHeight w:val="252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0000035005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76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DE50CC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8,2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223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24,0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161,1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161,1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79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B411A" w:rsidRDefault="006B411A" w:rsidP="006B411A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  <w:r w:rsidR="00603D43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S</w:t>
                  </w:r>
                  <w:r w:rsidR="00603D43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138</w:t>
                  </w:r>
                  <w:r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138</w:t>
                  </w:r>
                  <w:r>
                    <w:rPr>
                      <w:b/>
                      <w:bCs/>
                      <w:color w:val="000000"/>
                    </w:rPr>
                    <w:t>,8</w:t>
                  </w:r>
                </w:p>
              </w:tc>
            </w:tr>
            <w:tr w:rsidR="006B411A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товары и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51,4</w:t>
                  </w:r>
                </w:p>
              </w:tc>
            </w:tr>
            <w:tr w:rsidR="006B411A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87,5</w:t>
                  </w:r>
                </w:p>
              </w:tc>
            </w:tr>
            <w:tr w:rsidR="006B411A" w:rsidTr="0014247E">
              <w:trPr>
                <w:trHeight w:val="36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6B411A"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6B411A">
                    <w:rPr>
                      <w:b/>
                      <w:i/>
                      <w:iCs/>
                      <w:color w:val="000000"/>
                    </w:rPr>
                    <w:t>138,9</w:t>
                  </w:r>
                </w:p>
              </w:tc>
            </w:tr>
            <w:tr w:rsidR="006B411A" w:rsidTr="0014247E">
              <w:trPr>
                <w:trHeight w:val="24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6B411A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6B411A">
                    <w:rPr>
                      <w:b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6B411A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6B411A">
                    <w:rPr>
                      <w:b/>
                      <w:color w:val="000000"/>
                    </w:rPr>
                    <w:t>0</w:t>
                  </w:r>
                  <w:r w:rsidR="009F437F"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6B411A">
                    <w:rPr>
                      <w:b/>
                      <w:color w:val="000000"/>
                    </w:rPr>
                    <w:t>0000042168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B411A"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B411A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B411A">
                    <w:rPr>
                      <w:b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B411A">
                    <w:rPr>
                      <w:b/>
                      <w:iCs/>
                      <w:color w:val="000000"/>
                    </w:rPr>
                    <w:t>10,0</w:t>
                  </w:r>
                </w:p>
              </w:tc>
            </w:tr>
            <w:tr w:rsidR="006B411A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6B411A" w:rsidTr="0014247E">
              <w:trPr>
                <w:trHeight w:val="243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6B411A" w:rsidTr="0014247E">
              <w:trPr>
                <w:trHeight w:val="248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F437F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6B411A" w:rsidRDefault="009F437F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210,2</w:t>
                  </w:r>
                </w:p>
              </w:tc>
            </w:tr>
            <w:tr w:rsidR="006B411A" w:rsidTr="0014247E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210,2</w:t>
                  </w:r>
                </w:p>
              </w:tc>
            </w:tr>
            <w:tr w:rsidR="006B411A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5A2A99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210,2</w:t>
                  </w:r>
                </w:p>
              </w:tc>
            </w:tr>
            <w:tr w:rsidR="006B411A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6B411A" w:rsidRDefault="009F437F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7,2</w:t>
                  </w:r>
                </w:p>
              </w:tc>
            </w:tr>
            <w:tr w:rsidR="006B411A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7,2</w:t>
                  </w:r>
                </w:p>
              </w:tc>
            </w:tr>
            <w:tr w:rsidR="006B411A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7,2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6B411A" w:rsidRDefault="009F437F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</w:t>
                  </w:r>
                  <w:r w:rsidRPr="006B411A">
                    <w:rPr>
                      <w:b/>
                      <w:bCs/>
                      <w:color w:val="000000"/>
                    </w:rPr>
                    <w:lastRenderedPageBreak/>
                    <w:t xml:space="preserve">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00000</w:t>
                  </w:r>
                  <w:r>
                    <w:rPr>
                      <w:b/>
                      <w:iCs/>
                      <w:color w:val="000000"/>
                      <w:lang w:val="en-US"/>
                    </w:rPr>
                    <w:t>L</w:t>
                  </w:r>
                  <w:r>
                    <w:rPr>
                      <w:b/>
                      <w:iCs/>
                      <w:color w:val="000000"/>
                    </w:rPr>
                    <w:t>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896,0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167,4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167,4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728,6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728,6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896,0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6B411A" w:rsidRDefault="0014247E" w:rsidP="00371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00000Д8050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795,0</w:t>
                  </w: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93,0</w:t>
                  </w: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682,0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682,0</w:t>
                  </w:r>
                </w:p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20,0</w:t>
                  </w:r>
                </w:p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795,0</w:t>
                  </w: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6B411A" w:rsidRDefault="0014247E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</w:t>
                  </w:r>
                  <w:r w:rsidRPr="00322275">
                    <w:rPr>
                      <w:b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2 080,8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2 080,8</w:t>
                  </w: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322275">
                    <w:rPr>
                      <w:iCs/>
                      <w:color w:val="000000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2 080,8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2 080,8</w:t>
                  </w:r>
                </w:p>
              </w:tc>
            </w:tr>
            <w:tr w:rsidR="0014247E" w:rsidTr="0014247E">
              <w:trPr>
                <w:trHeight w:val="25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2 080,8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2 080,8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338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Субсидии бюджетным учреждениям на финансовое обеспечение государственного (муниципального)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задания на оказание государственных (муниципальных услуг (выполнение работ)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421,0</w:t>
                  </w:r>
                </w:p>
              </w:tc>
            </w:tr>
            <w:tr w:rsidR="0014247E" w:rsidTr="0014247E">
              <w:trPr>
                <w:trHeight w:val="257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lastRenderedPageBreak/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421,0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421,0</w:t>
                  </w:r>
                </w:p>
              </w:tc>
            </w:tr>
            <w:tr w:rsidR="0014247E" w:rsidTr="0014247E">
              <w:trPr>
                <w:trHeight w:val="375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421,0</w:t>
                  </w:r>
                </w:p>
              </w:tc>
            </w:tr>
            <w:tr w:rsidR="0014247E" w:rsidTr="0014247E">
              <w:trPr>
                <w:trHeight w:val="26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371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00000</w:t>
                  </w:r>
                  <w:r>
                    <w:rPr>
                      <w:b/>
                      <w:bCs/>
                      <w:iCs/>
                      <w:color w:val="000000"/>
                      <w:lang w:val="en-US"/>
                    </w:rPr>
                    <w:t>L</w:t>
                  </w:r>
                  <w:r>
                    <w:rPr>
                      <w:b/>
                      <w:bCs/>
                      <w:iCs/>
                      <w:color w:val="000000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469,7</w:t>
                  </w:r>
                </w:p>
              </w:tc>
            </w:tr>
            <w:tr w:rsidR="0014247E" w:rsidTr="0014247E">
              <w:trPr>
                <w:trHeight w:val="33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00000</w:t>
                  </w:r>
                  <w:r w:rsidRPr="0010545E">
                    <w:rPr>
                      <w:bCs/>
                      <w:iCs/>
                      <w:color w:val="000000"/>
                      <w:lang w:val="en-US"/>
                    </w:rPr>
                    <w:t>L</w:t>
                  </w:r>
                  <w:r w:rsidRPr="0010545E">
                    <w:rPr>
                      <w:bCs/>
                      <w:iCs/>
                      <w:color w:val="000000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4247E" w:rsidRDefault="0014247E" w:rsidP="00371F12">
                  <w:pPr>
                    <w:jc w:val="center"/>
                    <w:rPr>
                      <w:bCs/>
                      <w:color w:val="000000"/>
                    </w:rPr>
                  </w:pPr>
                  <w:r w:rsidRPr="0014247E">
                    <w:rPr>
                      <w:bCs/>
                      <w:color w:val="000000"/>
                    </w:rPr>
                    <w:t>469,7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4247E" w:rsidRDefault="0014247E" w:rsidP="00371F12">
                  <w:pPr>
                    <w:jc w:val="center"/>
                    <w:rPr>
                      <w:bCs/>
                      <w:color w:val="000000"/>
                    </w:rPr>
                  </w:pPr>
                  <w:r w:rsidRPr="0014247E">
                    <w:rPr>
                      <w:bCs/>
                      <w:color w:val="000000"/>
                    </w:rPr>
                    <w:t>469,7</w:t>
                  </w:r>
                </w:p>
              </w:tc>
            </w:tr>
            <w:tr w:rsidR="0014247E" w:rsidTr="0014247E">
              <w:trPr>
                <w:trHeight w:val="38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371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371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469,7</w:t>
                  </w:r>
                </w:p>
              </w:tc>
            </w:tr>
            <w:tr w:rsidR="0014247E" w:rsidTr="0014247E">
              <w:trPr>
                <w:trHeight w:val="26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4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</w:tr>
            <w:tr w:rsidR="0014247E" w:rsidTr="0014247E">
              <w:trPr>
                <w:trHeight w:val="35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0545E">
                    <w:rPr>
                      <w:bCs/>
                      <w:i/>
                      <w:color w:val="000000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351,4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3,5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Перечисление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14247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3,5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1424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3,5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12 883,4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12 883,4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A8407E" w:rsidRDefault="00A8407E" w:rsidP="00FB6330">
            <w:pPr>
              <w:jc w:val="center"/>
              <w:rPr>
                <w:b/>
                <w:bCs/>
              </w:rPr>
            </w:pPr>
          </w:p>
        </w:tc>
      </w:tr>
    </w:tbl>
    <w:p w:rsidR="00536A08" w:rsidRDefault="00536A08" w:rsidP="0014247E">
      <w:pPr>
        <w:jc w:val="both"/>
        <w:rPr>
          <w:sz w:val="28"/>
          <w:szCs w:val="28"/>
        </w:rPr>
      </w:pPr>
    </w:p>
    <w:sectPr w:rsidR="00536A08" w:rsidSect="00FB6330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0D" w:rsidRDefault="00BD070D">
      <w:r>
        <w:separator/>
      </w:r>
    </w:p>
  </w:endnote>
  <w:endnote w:type="continuationSeparator" w:id="0">
    <w:p w:rsidR="00BD070D" w:rsidRDefault="00BD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7F" w:rsidRDefault="00DD6F39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437F" w:rsidRDefault="009F437F" w:rsidP="00442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28610"/>
      <w:docPartObj>
        <w:docPartGallery w:val="Page Numbers (Bottom of Page)"/>
        <w:docPartUnique/>
      </w:docPartObj>
    </w:sdtPr>
    <w:sdtContent>
      <w:p w:rsidR="009F437F" w:rsidRDefault="00DD6F39">
        <w:pPr>
          <w:pStyle w:val="a8"/>
          <w:jc w:val="right"/>
        </w:pPr>
        <w:fldSimple w:instr=" PAGE   \* MERGEFORMAT ">
          <w:r w:rsidR="00057A3C">
            <w:rPr>
              <w:noProof/>
            </w:rPr>
            <w:t>13</w:t>
          </w:r>
        </w:fldSimple>
      </w:p>
    </w:sdtContent>
  </w:sdt>
  <w:p w:rsidR="009F437F" w:rsidRDefault="009F437F" w:rsidP="00442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0D" w:rsidRDefault="00BD070D">
      <w:r>
        <w:separator/>
      </w:r>
    </w:p>
  </w:footnote>
  <w:footnote w:type="continuationSeparator" w:id="0">
    <w:p w:rsidR="00BD070D" w:rsidRDefault="00BD0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DF"/>
    <w:rsid w:val="00001106"/>
    <w:rsid w:val="00002FE6"/>
    <w:rsid w:val="000032F4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4EDF"/>
    <w:rsid w:val="00057A3C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1232"/>
    <w:rsid w:val="000844DA"/>
    <w:rsid w:val="000859EF"/>
    <w:rsid w:val="00086845"/>
    <w:rsid w:val="00086BE6"/>
    <w:rsid w:val="000870C5"/>
    <w:rsid w:val="00087C1C"/>
    <w:rsid w:val="00090E9B"/>
    <w:rsid w:val="00091DBA"/>
    <w:rsid w:val="00093287"/>
    <w:rsid w:val="00095E1A"/>
    <w:rsid w:val="00097FF7"/>
    <w:rsid w:val="000A2418"/>
    <w:rsid w:val="000A2552"/>
    <w:rsid w:val="000A7D6F"/>
    <w:rsid w:val="000B1E5D"/>
    <w:rsid w:val="000B339F"/>
    <w:rsid w:val="000C0796"/>
    <w:rsid w:val="000C0D11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7B5F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247E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7660E"/>
    <w:rsid w:val="00180170"/>
    <w:rsid w:val="00182B17"/>
    <w:rsid w:val="00185649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FFB"/>
    <w:rsid w:val="001E0CAC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1F77B7"/>
    <w:rsid w:val="002037A9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436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2275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EDB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D0BB3"/>
    <w:rsid w:val="003D0D1A"/>
    <w:rsid w:val="003D1AB9"/>
    <w:rsid w:val="003D434C"/>
    <w:rsid w:val="003D4691"/>
    <w:rsid w:val="003D65C0"/>
    <w:rsid w:val="003F06ED"/>
    <w:rsid w:val="003F1A4B"/>
    <w:rsid w:val="003F1D15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61854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82E"/>
    <w:rsid w:val="004A63CC"/>
    <w:rsid w:val="004B0DC5"/>
    <w:rsid w:val="004B14EB"/>
    <w:rsid w:val="004B28AA"/>
    <w:rsid w:val="004B29C1"/>
    <w:rsid w:val="004B34A6"/>
    <w:rsid w:val="004B45F4"/>
    <w:rsid w:val="004B7FCA"/>
    <w:rsid w:val="004C0412"/>
    <w:rsid w:val="004C0ED1"/>
    <w:rsid w:val="004C721F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A33"/>
    <w:rsid w:val="005F4C08"/>
    <w:rsid w:val="005F64DD"/>
    <w:rsid w:val="005F7E40"/>
    <w:rsid w:val="00600B3A"/>
    <w:rsid w:val="00601F8E"/>
    <w:rsid w:val="00602D0D"/>
    <w:rsid w:val="00603D43"/>
    <w:rsid w:val="00604B8E"/>
    <w:rsid w:val="0061228A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1482"/>
    <w:rsid w:val="00655241"/>
    <w:rsid w:val="00655FD5"/>
    <w:rsid w:val="00662503"/>
    <w:rsid w:val="006634DD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5432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411A"/>
    <w:rsid w:val="006B571C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0C5E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5656F"/>
    <w:rsid w:val="0086047E"/>
    <w:rsid w:val="008614E0"/>
    <w:rsid w:val="0086397D"/>
    <w:rsid w:val="00871148"/>
    <w:rsid w:val="008718DE"/>
    <w:rsid w:val="00877BB2"/>
    <w:rsid w:val="0088082F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4580"/>
    <w:rsid w:val="009555E9"/>
    <w:rsid w:val="009567B2"/>
    <w:rsid w:val="00957D08"/>
    <w:rsid w:val="00972060"/>
    <w:rsid w:val="0097276B"/>
    <w:rsid w:val="00972D00"/>
    <w:rsid w:val="00972D9E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2784"/>
    <w:rsid w:val="009F3C25"/>
    <w:rsid w:val="009F40E9"/>
    <w:rsid w:val="009F437F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407E"/>
    <w:rsid w:val="00A863A2"/>
    <w:rsid w:val="00A86912"/>
    <w:rsid w:val="00A87D9F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CED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54EF7"/>
    <w:rsid w:val="00B625B8"/>
    <w:rsid w:val="00B6354B"/>
    <w:rsid w:val="00B667C2"/>
    <w:rsid w:val="00B66B7E"/>
    <w:rsid w:val="00B7389E"/>
    <w:rsid w:val="00B742CC"/>
    <w:rsid w:val="00B76722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0D"/>
    <w:rsid w:val="00BD07DC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2D02"/>
    <w:rsid w:val="00C25762"/>
    <w:rsid w:val="00C262CE"/>
    <w:rsid w:val="00C265C3"/>
    <w:rsid w:val="00C312F2"/>
    <w:rsid w:val="00C318EF"/>
    <w:rsid w:val="00C318FC"/>
    <w:rsid w:val="00C31C38"/>
    <w:rsid w:val="00C4232B"/>
    <w:rsid w:val="00C42F08"/>
    <w:rsid w:val="00C44ACE"/>
    <w:rsid w:val="00C46B64"/>
    <w:rsid w:val="00C479F9"/>
    <w:rsid w:val="00C5579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51CE"/>
    <w:rsid w:val="00C86671"/>
    <w:rsid w:val="00C91069"/>
    <w:rsid w:val="00C9275A"/>
    <w:rsid w:val="00C948A6"/>
    <w:rsid w:val="00C964C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3E48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4DF"/>
    <w:rsid w:val="00DD6D98"/>
    <w:rsid w:val="00DD6F39"/>
    <w:rsid w:val="00DD7372"/>
    <w:rsid w:val="00DE0493"/>
    <w:rsid w:val="00DE1234"/>
    <w:rsid w:val="00DE461B"/>
    <w:rsid w:val="00DE50CC"/>
    <w:rsid w:val="00DE69BC"/>
    <w:rsid w:val="00DF03B8"/>
    <w:rsid w:val="00DF1B09"/>
    <w:rsid w:val="00DF232F"/>
    <w:rsid w:val="00DF2ABF"/>
    <w:rsid w:val="00DF4C4D"/>
    <w:rsid w:val="00DF52C8"/>
    <w:rsid w:val="00DF5902"/>
    <w:rsid w:val="00DF6739"/>
    <w:rsid w:val="00DF6807"/>
    <w:rsid w:val="00DF71EA"/>
    <w:rsid w:val="00E02055"/>
    <w:rsid w:val="00E05AB9"/>
    <w:rsid w:val="00E1583F"/>
    <w:rsid w:val="00E1613F"/>
    <w:rsid w:val="00E16B72"/>
    <w:rsid w:val="00E17A72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6F35"/>
    <w:rsid w:val="00F37A13"/>
    <w:rsid w:val="00F4428B"/>
    <w:rsid w:val="00F4434C"/>
    <w:rsid w:val="00F4593E"/>
    <w:rsid w:val="00F45EEB"/>
    <w:rsid w:val="00F462C8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927AC"/>
    <w:rsid w:val="00FA15E8"/>
    <w:rsid w:val="00FA29BE"/>
    <w:rsid w:val="00FA3B06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3D99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1CDE-A5B6-4EB4-97F9-87CBAFCC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Windows User</cp:lastModifiedBy>
  <cp:revision>2</cp:revision>
  <cp:lastPrinted>2016-02-16T02:12:00Z</cp:lastPrinted>
  <dcterms:created xsi:type="dcterms:W3CDTF">2022-07-04T07:54:00Z</dcterms:created>
  <dcterms:modified xsi:type="dcterms:W3CDTF">2022-07-04T07:54:00Z</dcterms:modified>
</cp:coreProperties>
</file>