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7C" w:rsidRPr="0093157C" w:rsidRDefault="0093157C" w:rsidP="0093157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62A"/>
          <w:kern w:val="36"/>
          <w:sz w:val="28"/>
          <w:szCs w:val="28"/>
          <w:lang w:eastAsia="ru-RU"/>
        </w:rPr>
      </w:pPr>
      <w:r w:rsidRPr="0093157C">
        <w:rPr>
          <w:rFonts w:ascii="Times New Roman" w:eastAsia="Times New Roman" w:hAnsi="Times New Roman" w:cs="Times New Roman"/>
          <w:b/>
          <w:bCs/>
          <w:color w:val="22262A"/>
          <w:kern w:val="36"/>
          <w:sz w:val="28"/>
          <w:szCs w:val="28"/>
          <w:lang w:eastAsia="ru-RU"/>
        </w:rPr>
        <w:t>Информация для работодателей по предупредительным мерам</w:t>
      </w:r>
    </w:p>
    <w:p w:rsidR="0093157C" w:rsidRPr="00FE31A9" w:rsidRDefault="0093157C" w:rsidP="00FE3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9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района «Хилокский район» информирует о возможности подачи заявления на обеспечение предупредительных мер через Единый портал государственных и муниципальных услуг (www.gosuslugi.ru).    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FE31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утверждены приказом Минтруда России от 14 июля 2021 года № 467н. 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E31A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предупредительных мер осуществляется страхователем за счет собственных сре</w:t>
      </w:r>
      <w:proofErr w:type="gramStart"/>
      <w:r w:rsidRPr="00FE31A9">
        <w:rPr>
          <w:rFonts w:ascii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оследующим возмещением произведенных им расходов за счет средств бюджета Отделения Фонда пенсионного и социального страхования Российской Федерации по Забайкальскому краю. </w:t>
      </w:r>
    </w:p>
    <w:p w:rsidR="0093157C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Право на финансовое обеспечение имеют все страхователи независимо от формы собственности, вида деятельности и численности, если они в предыдущем году осуществляли хозяйственную деятельность. 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Минтруда РФ от 14 июля 2021 года № 467н работодатели ежегодно до 01 августа могут за счет сумм страховых взносов обеспечить следующие предупредительные меры: 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1) проведение специальной оценки условий труда;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2)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3) обучение по охране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 следующих категорий работников: руководитель организации, заместители руководителя организации, руководители филиалов и их заместители, на которых приказом страхователя возложены обязанности по охране труда;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заместители;  работники организации, отнесенные к категории специалисты; 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специалисты по охране труда; работники рабочих профессий; члены комиссий по проверке знания требований охраны труда, работники, проводящие инструктаж по охране труда и обучение требованиям охраны труда, работник, назначенный на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микропредприятии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работодателем для проведения проверки знания требований охраны труда;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представительных органов организаций;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отдельные категории работников организаций,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опасности, подлежащих обязательному обучению по охране труда в установленном порядке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4)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–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и (или) на основании результатов проведения специальной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условий труда, а также смывающих и (или) обезвреживающих средств; </w:t>
      </w:r>
    </w:p>
    <w:p w:rsidR="0093157C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5)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 </w:t>
      </w:r>
    </w:p>
    <w:p w:rsidR="0093157C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6) проведение обязательных периодических медицинских осмотров (обследований) работников; </w:t>
      </w:r>
    </w:p>
    <w:p w:rsidR="0093157C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7) обеспечение лечебно-профилактическим питанием работников, для которых указанное питание предусмотрено перечнем отдельных видов работ, при выполнении которых работникам предоставляется бесплатно по установленным нормам лечебно-профилактическое питание, утвержденным приказом Министерства труда и социальной защиты Российской Федерации от 16 мая 2022 года № 298н; </w:t>
      </w:r>
    </w:p>
    <w:p w:rsidR="0093157C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8) приобретение страхователями, работники которых проходят обязательные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предсменные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послесменные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) и (или)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)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в моче, зарегистрированных в установленном порядке; </w:t>
      </w:r>
    </w:p>
    <w:p w:rsidR="0093157C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9) приобретение страхователями, осуществляющими пассажирские и грузовые перевозки, приборов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режимом труда и отдыха водителей (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FE31A9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10) приобретение страхователями аптечек для оказания первой помощи;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11)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12) приобретение отдельных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оборудования,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аудиофиксацию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31A9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13)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14)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факторами;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E31A9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15) приобретение приборов, устройств, оборудования (приборы, устройства, оборудование стран-членов Евразийского экономического союза, при отсутствии отечественных аналогов –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 (приборы, устройства, оборудование стран-членов Евразийского экономического союза, при отсутствии отечественных аналогов – импортных приборов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, устройств, оборудования при условии включения соответствующих мероприятий в отраслевые планы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), обеспечивающих безопасное ведение горных работ, в рамках модернизации основных производств, утверждаемым Министерством труда и социальной защиты Российской Федерации; 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16) обеспечение бесплатной выдачей молока или других равноценных пищевых продуктов работников, занятых на рабочих местах с вредными условиями труда, установленными по результатам специальной оценки условий труда,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 выдаются бесплатно по установленным нормам молоко или другие равноценные пищевые продукты, утвержденным приказом Министерства труда и социальной защиты Российской Федерации от 12 мая 2022 г. № 291н.</w:t>
      </w:r>
    </w:p>
    <w:p w:rsidR="00FE31A9" w:rsidRPr="00FE31A9" w:rsidRDefault="0093157C" w:rsidP="00FE3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9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финансовом обеспечении предупредительных мер может являться:</w:t>
      </w:r>
    </w:p>
    <w:p w:rsidR="00FE31A9" w:rsidRPr="00FE31A9" w:rsidRDefault="0093157C" w:rsidP="00FE3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- если на день подачи заявления у страхователя имеются непогашенные недоимка, задолженность по пеням и штрафам, образовавшимся по итогам отчетного периода в текущем финансовом году, недоимка, выявленная в ходе 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камеральной или выездной проверки, и (или) начисленные пени и штрафы по итогам камеральной или выездной проверки;</w:t>
      </w:r>
    </w:p>
    <w:p w:rsidR="00FE31A9" w:rsidRPr="00FE31A9" w:rsidRDefault="0093157C" w:rsidP="00FE31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9">
        <w:rPr>
          <w:rFonts w:ascii="Times New Roman" w:hAnsi="Times New Roman" w:cs="Times New Roman"/>
          <w:sz w:val="28"/>
          <w:szCs w:val="28"/>
          <w:lang w:eastAsia="ru-RU"/>
        </w:rPr>
        <w:t>- представленные документы содержат недостоверную информацию;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E31A9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>- если предусмотренные бюджетом Фонда средства на финансовое обеспечение предупредительных мер на текущий год полностью распределены; 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E31A9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FE31A9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>- при представлении страхователем неполного комплекта документов. 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</w:t>
      </w:r>
      <w:r w:rsidR="00FE31A9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>Страхователь ведет в установленном порядке учет средств, направленных на финансовое обеспечение предупредительных мер и ежеквартально представляет в территориальный орган Фонда отчет об их использовании. 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br/>
        <w:t>    После выполнения предупредительных мер, предусмотренных планом финансового обеспечения,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текущего года.</w:t>
      </w:r>
      <w:r w:rsidR="00FE31A9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157C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 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</w:t>
      </w:r>
      <w:proofErr w:type="gram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Напоминаем, чтобы сократить сроки предоставления государственной услуги, можно направить заявление на 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 электронной форме с использованием Единого портала государственных и муниципальных услуг www.gosuslugi.ru.</w:t>
      </w:r>
      <w:proofErr w:type="gram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br/>
        <w:t>    Более подробную информацию о порядке и условиях финансового обеспечения страхователем предупредительных мер можно узнать в Отделении Фонда пенсионного и социального страхования Российской Федерации по Забайкальскому краю по телефону: 8 (3022) 21-19-67, с</w:t>
      </w:r>
      <w:r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</w:t>
      </w:r>
      <w:proofErr w:type="spellStart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>Баньковская</w:t>
      </w:r>
      <w:proofErr w:type="spellEnd"/>
      <w:r w:rsidR="0093157C" w:rsidRPr="00FE31A9">
        <w:rPr>
          <w:rFonts w:ascii="Times New Roman" w:hAnsi="Times New Roman" w:cs="Times New Roman"/>
          <w:sz w:val="28"/>
          <w:szCs w:val="28"/>
          <w:lang w:eastAsia="ru-RU"/>
        </w:rPr>
        <w:t xml:space="preserve"> Юлия Геннадьевна.</w:t>
      </w:r>
    </w:p>
    <w:p w:rsidR="00A25628" w:rsidRPr="00FE31A9" w:rsidRDefault="00FE31A9" w:rsidP="00FE3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25628" w:rsidRPr="00F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7C"/>
    <w:rsid w:val="0093157C"/>
    <w:rsid w:val="00D52A6A"/>
    <w:rsid w:val="00F97F2A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3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3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0E79EF-28F1-4FA1-B352-E6958D31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2024-02-08T01:47:00Z</dcterms:created>
  <dcterms:modified xsi:type="dcterms:W3CDTF">2024-02-08T02:07:00Z</dcterms:modified>
</cp:coreProperties>
</file>