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СОВЕТ СЕЛЬСКОГО ПОСЕЛЕНИЯ «ХУШЕНГИНСКОЕ»</w:t>
      </w:r>
    </w:p>
    <w:p w:rsidR="001A01A7" w:rsidRDefault="001A01A7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1A01A7" w:rsidRDefault="001A01A7" w:rsidP="001A01A7">
      <w:pPr>
        <w:pStyle w:val="a3"/>
      </w:pPr>
    </w:p>
    <w:p w:rsidR="001A01A7" w:rsidRPr="00A87F90" w:rsidRDefault="00A87F90" w:rsidP="001A01A7">
      <w:pPr>
        <w:pStyle w:val="a3"/>
        <w:jc w:val="left"/>
        <w:rPr>
          <w:sz w:val="28"/>
          <w:szCs w:val="28"/>
        </w:rPr>
      </w:pPr>
      <w:r w:rsidRPr="00A87F90">
        <w:rPr>
          <w:sz w:val="28"/>
          <w:szCs w:val="28"/>
        </w:rPr>
        <w:t>От 27</w:t>
      </w:r>
      <w:r w:rsidR="00851A31" w:rsidRPr="00A87F90">
        <w:rPr>
          <w:sz w:val="28"/>
          <w:szCs w:val="28"/>
        </w:rPr>
        <w:t>.0</w:t>
      </w:r>
      <w:r w:rsidR="00E2012F" w:rsidRPr="00A87F90">
        <w:rPr>
          <w:sz w:val="28"/>
          <w:szCs w:val="28"/>
        </w:rPr>
        <w:t>4</w:t>
      </w:r>
      <w:r w:rsidR="0099634D" w:rsidRPr="00A87F90">
        <w:rPr>
          <w:sz w:val="28"/>
          <w:szCs w:val="28"/>
        </w:rPr>
        <w:t>.202</w:t>
      </w:r>
      <w:r w:rsidR="00E2012F" w:rsidRPr="00A87F90">
        <w:rPr>
          <w:sz w:val="28"/>
          <w:szCs w:val="28"/>
        </w:rPr>
        <w:t>3</w:t>
      </w:r>
      <w:r w:rsidR="00851A31" w:rsidRPr="00A87F90">
        <w:rPr>
          <w:sz w:val="28"/>
          <w:szCs w:val="28"/>
        </w:rPr>
        <w:t xml:space="preserve"> г.                </w:t>
      </w:r>
      <w:r w:rsidR="001A01A7" w:rsidRPr="00A87F9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№60</w:t>
      </w:r>
    </w:p>
    <w:p w:rsidR="00851A31" w:rsidRPr="00A87F90" w:rsidRDefault="00851A31" w:rsidP="00851A31">
      <w:pPr>
        <w:pStyle w:val="a3"/>
        <w:rPr>
          <w:i/>
          <w:sz w:val="28"/>
          <w:szCs w:val="28"/>
        </w:rPr>
      </w:pPr>
      <w:r w:rsidRPr="00A87F90">
        <w:rPr>
          <w:i/>
          <w:sz w:val="28"/>
          <w:szCs w:val="28"/>
        </w:rPr>
        <w:t xml:space="preserve">с. </w:t>
      </w:r>
      <w:proofErr w:type="spellStart"/>
      <w:r w:rsidRPr="00A87F90">
        <w:rPr>
          <w:i/>
          <w:sz w:val="28"/>
          <w:szCs w:val="28"/>
        </w:rPr>
        <w:t>Хушенга</w:t>
      </w:r>
      <w:proofErr w:type="spellEnd"/>
    </w:p>
    <w:p w:rsidR="001A01A7" w:rsidRDefault="001A01A7" w:rsidP="001A01A7">
      <w:pPr>
        <w:pStyle w:val="a3"/>
        <w:jc w:val="left"/>
      </w:pPr>
    </w:p>
    <w:p w:rsidR="003A4EDB" w:rsidRDefault="00972D9E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исполнении бюджета </w:t>
      </w:r>
    </w:p>
    <w:p w:rsidR="003A4EDB" w:rsidRDefault="001A01A7" w:rsidP="001C26B9">
      <w:pPr>
        <w:pStyle w:val="a3"/>
        <w:jc w:val="both"/>
        <w:rPr>
          <w:b/>
          <w:bCs/>
          <w:i/>
          <w:sz w:val="28"/>
          <w:szCs w:val="28"/>
        </w:rPr>
      </w:pPr>
      <w:r w:rsidRPr="00851A31">
        <w:rPr>
          <w:b/>
          <w:bCs/>
          <w:i/>
          <w:sz w:val="28"/>
          <w:szCs w:val="28"/>
        </w:rPr>
        <w:t>сельского поселения «Хушенгинское</w:t>
      </w:r>
    </w:p>
    <w:p w:rsidR="001A01A7" w:rsidRPr="00851A31" w:rsidRDefault="00E2012F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  2022</w:t>
      </w:r>
      <w:r w:rsidR="003A4EDB">
        <w:rPr>
          <w:b/>
          <w:bCs/>
          <w:i/>
          <w:sz w:val="28"/>
          <w:szCs w:val="28"/>
        </w:rPr>
        <w:t xml:space="preserve"> год</w:t>
      </w:r>
      <w:r w:rsidR="001A01A7" w:rsidRPr="00851A31">
        <w:rPr>
          <w:b/>
          <w:bCs/>
          <w:i/>
          <w:sz w:val="28"/>
          <w:szCs w:val="28"/>
        </w:rPr>
        <w:t xml:space="preserve">» </w:t>
      </w:r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851A31" w:rsidRDefault="001A01A7" w:rsidP="001A01A7">
      <w:pPr>
        <w:pStyle w:val="a3"/>
        <w:ind w:firstLine="720"/>
        <w:jc w:val="both"/>
        <w:rPr>
          <w:bCs/>
          <w:sz w:val="28"/>
          <w:szCs w:val="28"/>
        </w:rPr>
      </w:pPr>
      <w:r w:rsidRPr="00851A31">
        <w:rPr>
          <w:bCs/>
          <w:sz w:val="28"/>
          <w:szCs w:val="28"/>
        </w:rPr>
        <w:t xml:space="preserve">На основании статьи 264.4 Бюджетного кодекса Российской Федерации, заключения по результатам экспертизы финансового отчета «Об исполнении бюджета сельского </w:t>
      </w:r>
      <w:r w:rsidR="00E2012F">
        <w:rPr>
          <w:bCs/>
          <w:sz w:val="28"/>
          <w:szCs w:val="28"/>
        </w:rPr>
        <w:t>поселения «Хушенгинское» за 2022</w:t>
      </w:r>
      <w:r w:rsidRPr="00851A31">
        <w:rPr>
          <w:bCs/>
          <w:sz w:val="28"/>
          <w:szCs w:val="28"/>
        </w:rPr>
        <w:t xml:space="preserve"> год, рассмотрев отчет об</w:t>
      </w:r>
      <w:r w:rsidR="0099634D">
        <w:rPr>
          <w:bCs/>
          <w:sz w:val="28"/>
          <w:szCs w:val="28"/>
        </w:rPr>
        <w:t xml:space="preserve"> исполнении бюджета поселения, С</w:t>
      </w:r>
      <w:r w:rsidRPr="00851A31">
        <w:rPr>
          <w:bCs/>
          <w:sz w:val="28"/>
          <w:szCs w:val="28"/>
        </w:rPr>
        <w:t xml:space="preserve">овет сельского поселения «Хушенгинское» </w:t>
      </w:r>
      <w:r w:rsidRPr="00851A31">
        <w:rPr>
          <w:b/>
          <w:bCs/>
          <w:i/>
          <w:sz w:val="28"/>
          <w:szCs w:val="28"/>
        </w:rPr>
        <w:t>решил:</w:t>
      </w:r>
    </w:p>
    <w:p w:rsidR="001A01A7" w:rsidRPr="00851A31" w:rsidRDefault="001A01A7" w:rsidP="001A01A7">
      <w:pPr>
        <w:pStyle w:val="a3"/>
        <w:jc w:val="left"/>
        <w:rPr>
          <w:b/>
          <w:bCs/>
          <w:sz w:val="28"/>
          <w:szCs w:val="28"/>
        </w:rPr>
      </w:pPr>
    </w:p>
    <w:p w:rsidR="001A01A7" w:rsidRPr="00851A31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851A31">
        <w:rPr>
          <w:bCs/>
          <w:sz w:val="28"/>
          <w:szCs w:val="28"/>
        </w:rPr>
        <w:t>1.</w:t>
      </w:r>
      <w:r w:rsidRPr="00851A31">
        <w:rPr>
          <w:b/>
          <w:bCs/>
          <w:sz w:val="28"/>
          <w:szCs w:val="28"/>
        </w:rPr>
        <w:t xml:space="preserve"> </w:t>
      </w:r>
      <w:r w:rsidRPr="00851A31">
        <w:rPr>
          <w:sz w:val="28"/>
          <w:szCs w:val="28"/>
        </w:rPr>
        <w:t>Утвердить отчет об исполнении бюджета сельского поселения «Хушенгинское» за 20</w:t>
      </w:r>
      <w:r w:rsidR="00E2012F">
        <w:rPr>
          <w:sz w:val="28"/>
          <w:szCs w:val="28"/>
        </w:rPr>
        <w:t>22</w:t>
      </w:r>
      <w:r w:rsidR="00972D9E">
        <w:rPr>
          <w:sz w:val="28"/>
          <w:szCs w:val="28"/>
        </w:rPr>
        <w:t xml:space="preserve"> год по доходам в сумме 1</w:t>
      </w:r>
      <w:r w:rsidR="00E2012F">
        <w:rPr>
          <w:sz w:val="28"/>
          <w:szCs w:val="28"/>
        </w:rPr>
        <w:t>0 703,3</w:t>
      </w:r>
      <w:r w:rsidRPr="00851A31">
        <w:rPr>
          <w:sz w:val="28"/>
          <w:szCs w:val="28"/>
        </w:rPr>
        <w:t xml:space="preserve">  тыс. </w:t>
      </w:r>
      <w:r w:rsidR="0099634D">
        <w:rPr>
          <w:sz w:val="28"/>
          <w:szCs w:val="28"/>
        </w:rPr>
        <w:t>ру</w:t>
      </w:r>
      <w:r w:rsidR="00972D9E">
        <w:rPr>
          <w:sz w:val="28"/>
          <w:szCs w:val="28"/>
        </w:rPr>
        <w:t xml:space="preserve">б., по расходам в сумме </w:t>
      </w:r>
      <w:r w:rsidR="00E2012F">
        <w:rPr>
          <w:sz w:val="28"/>
          <w:szCs w:val="28"/>
        </w:rPr>
        <w:t>10 702,6</w:t>
      </w:r>
      <w:r w:rsidRPr="00851A31">
        <w:rPr>
          <w:sz w:val="28"/>
          <w:szCs w:val="28"/>
        </w:rPr>
        <w:t xml:space="preserve"> тыс. руб. с превышением </w:t>
      </w:r>
      <w:r w:rsidR="007F5408">
        <w:rPr>
          <w:sz w:val="28"/>
          <w:szCs w:val="28"/>
        </w:rPr>
        <w:t>доходов</w:t>
      </w:r>
      <w:r w:rsidR="00BE3DB1">
        <w:rPr>
          <w:sz w:val="28"/>
          <w:szCs w:val="28"/>
        </w:rPr>
        <w:t xml:space="preserve"> над </w:t>
      </w:r>
      <w:r w:rsidR="007F5408">
        <w:rPr>
          <w:sz w:val="28"/>
          <w:szCs w:val="28"/>
        </w:rPr>
        <w:t>рас</w:t>
      </w:r>
      <w:r w:rsidR="00BE3DB1">
        <w:rPr>
          <w:sz w:val="28"/>
          <w:szCs w:val="28"/>
        </w:rPr>
        <w:t>ходами в сумме</w:t>
      </w:r>
      <w:r w:rsidR="00972D9E">
        <w:rPr>
          <w:sz w:val="28"/>
          <w:szCs w:val="28"/>
        </w:rPr>
        <w:t xml:space="preserve"> </w:t>
      </w:r>
      <w:r w:rsidR="007F5408" w:rsidRPr="007F5408">
        <w:rPr>
          <w:sz w:val="28"/>
          <w:szCs w:val="28"/>
        </w:rPr>
        <w:t>0,7</w:t>
      </w:r>
      <w:r w:rsidRPr="007F5408">
        <w:rPr>
          <w:sz w:val="28"/>
          <w:szCs w:val="28"/>
        </w:rPr>
        <w:t xml:space="preserve"> тыс. </w:t>
      </w:r>
      <w:r w:rsidR="007151C5" w:rsidRPr="007F5408">
        <w:rPr>
          <w:sz w:val="28"/>
          <w:szCs w:val="28"/>
        </w:rPr>
        <w:t>руб</w:t>
      </w:r>
      <w:r w:rsidR="007F5408">
        <w:rPr>
          <w:sz w:val="28"/>
          <w:szCs w:val="28"/>
        </w:rPr>
        <w:t>. (Приложение №№ 1-4</w:t>
      </w:r>
      <w:r w:rsidRPr="00851A31">
        <w:rPr>
          <w:sz w:val="28"/>
          <w:szCs w:val="28"/>
        </w:rPr>
        <w:t>)</w:t>
      </w:r>
    </w:p>
    <w:p w:rsidR="0099634D" w:rsidRPr="0099634D" w:rsidRDefault="0099634D" w:rsidP="009963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9634D" w:rsidRPr="0099634D" w:rsidRDefault="0099634D" w:rsidP="0099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3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lastRenderedPageBreak/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A2BA0">
        <w:rPr>
          <w:sz w:val="24"/>
        </w:rPr>
        <w:t xml:space="preserve">   Поселения «Хушенгинское» №</w:t>
      </w:r>
      <w:r w:rsidR="00A87F90">
        <w:rPr>
          <w:sz w:val="24"/>
        </w:rPr>
        <w:t>60</w:t>
      </w:r>
      <w:r>
        <w:rPr>
          <w:sz w:val="24"/>
        </w:rPr>
        <w:t xml:space="preserve"> </w:t>
      </w:r>
      <w:r w:rsidRPr="00272AC7">
        <w:rPr>
          <w:sz w:val="24"/>
        </w:rPr>
        <w:t xml:space="preserve">от </w:t>
      </w:r>
      <w:r w:rsidR="00AA2BA0">
        <w:rPr>
          <w:sz w:val="24"/>
        </w:rPr>
        <w:t>«</w:t>
      </w:r>
      <w:r w:rsidR="00A87F90">
        <w:rPr>
          <w:sz w:val="24"/>
        </w:rPr>
        <w:t>27</w:t>
      </w:r>
      <w:r w:rsidR="00AA2BA0">
        <w:rPr>
          <w:sz w:val="24"/>
        </w:rPr>
        <w:t>»</w:t>
      </w:r>
      <w:r w:rsidR="00851A31">
        <w:rPr>
          <w:sz w:val="24"/>
        </w:rPr>
        <w:t xml:space="preserve"> </w:t>
      </w:r>
      <w:r w:rsidR="00A87F90">
        <w:rPr>
          <w:sz w:val="24"/>
        </w:rPr>
        <w:t>апреля</w:t>
      </w:r>
      <w:r w:rsidR="00AA2BA0">
        <w:rPr>
          <w:sz w:val="24"/>
        </w:rPr>
        <w:t xml:space="preserve"> 20</w:t>
      </w:r>
      <w:r w:rsidR="00906518">
        <w:rPr>
          <w:sz w:val="24"/>
        </w:rPr>
        <w:t>2</w:t>
      </w:r>
      <w:r w:rsidR="00E2012F">
        <w:rPr>
          <w:sz w:val="24"/>
        </w:rPr>
        <w:t>3</w:t>
      </w:r>
      <w:r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>оселения «Хушенгинское» з</w:t>
      </w:r>
      <w:r w:rsidR="00567590">
        <w:rPr>
          <w:sz w:val="24"/>
        </w:rPr>
        <w:t xml:space="preserve">а </w:t>
      </w:r>
      <w:r w:rsidR="004C721F">
        <w:rPr>
          <w:sz w:val="24"/>
        </w:rPr>
        <w:t>202</w:t>
      </w:r>
      <w:r w:rsidR="00E2012F">
        <w:rPr>
          <w:sz w:val="24"/>
        </w:rPr>
        <w:t xml:space="preserve">2 </w:t>
      </w:r>
      <w:r>
        <w:rPr>
          <w:sz w:val="24"/>
        </w:rPr>
        <w:t>г</w:t>
      </w:r>
      <w:r w:rsidR="00E2012F">
        <w:rPr>
          <w:sz w:val="24"/>
        </w:rPr>
        <w:t>.»</w:t>
      </w:r>
      <w:r>
        <w:rPr>
          <w:sz w:val="24"/>
        </w:rPr>
        <w:t xml:space="preserve">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«ХУШЕНГИНСКОЕ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0E691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E2012F">
        <w:rPr>
          <w:b/>
          <w:sz w:val="24"/>
        </w:rPr>
        <w:t>А 2022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/>
      </w:tblPr>
      <w:tblGrid>
        <w:gridCol w:w="3275"/>
        <w:gridCol w:w="3969"/>
        <w:gridCol w:w="1559"/>
        <w:gridCol w:w="1419"/>
      </w:tblGrid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утверждено бюджетные назначения на 2022 г.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исполнено на 2022 г.</w:t>
            </w:r>
          </w:p>
        </w:tc>
      </w:tr>
      <w:tr w:rsidR="000E6918" w:rsidRPr="000E6918" w:rsidTr="000E6918">
        <w:trPr>
          <w:trHeight w:val="26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</w:t>
            </w:r>
          </w:p>
        </w:tc>
      </w:tr>
      <w:tr w:rsidR="000E6918" w:rsidRPr="000E6918" w:rsidTr="000E6918">
        <w:trPr>
          <w:trHeight w:val="384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10 775,60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10 703,20</w:t>
            </w:r>
          </w:p>
        </w:tc>
      </w:tr>
      <w:tr w:rsidR="000E6918" w:rsidRPr="000E6918" w:rsidTr="000E6918">
        <w:trPr>
          <w:trHeight w:val="40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в том числе: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</w:tr>
      <w:tr w:rsidR="000E6918" w:rsidRPr="000E6918" w:rsidTr="000E6918">
        <w:trPr>
          <w:trHeight w:val="69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802 1 00 00000 00 0000 000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921,70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849,70</w:t>
            </w:r>
          </w:p>
        </w:tc>
      </w:tr>
      <w:tr w:rsidR="000E6918" w:rsidRPr="000E6918" w:rsidTr="000E6918">
        <w:trPr>
          <w:trHeight w:val="83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195,00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187,50</w:t>
            </w:r>
          </w:p>
        </w:tc>
      </w:tr>
      <w:tr w:rsidR="000E6918" w:rsidRPr="000E6918" w:rsidTr="000E6918">
        <w:trPr>
          <w:trHeight w:val="70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802 1 01 02000 01 0000 110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195,00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187,50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802 1 01 02010 01 0000 110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195,00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187,50</w:t>
            </w:r>
          </w:p>
        </w:tc>
      </w:tr>
      <w:tr w:rsidR="000E6918" w:rsidRPr="000E6918" w:rsidTr="000E6918">
        <w:trPr>
          <w:trHeight w:val="88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615,00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561,20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134,30</w:t>
            </w:r>
          </w:p>
        </w:tc>
      </w:tr>
      <w:tr w:rsidR="000E6918" w:rsidRPr="000E6918" w:rsidTr="000E6918">
        <w:trPr>
          <w:trHeight w:val="56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ЗЕМЕЛЬНЫЙ НАЛОГ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426,90</w:t>
            </w:r>
          </w:p>
        </w:tc>
      </w:tr>
      <w:tr w:rsidR="000E6918" w:rsidRPr="000E6918" w:rsidTr="000E6918">
        <w:trPr>
          <w:trHeight w:val="69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145,00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51,10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802 1 06 06033 10 0000 110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145,00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51,10</w:t>
            </w:r>
          </w:p>
        </w:tc>
      </w:tr>
      <w:tr w:rsidR="000E6918" w:rsidRPr="000E6918" w:rsidTr="000E6918">
        <w:trPr>
          <w:trHeight w:val="67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802 1 06 06040 00 0000 110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390,00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375,80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802 1 06 06043 10 0000 110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390,00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375,80</w:t>
            </w:r>
          </w:p>
        </w:tc>
      </w:tr>
      <w:tr w:rsidR="000E6918" w:rsidRPr="000E6918" w:rsidTr="000E6918">
        <w:trPr>
          <w:trHeight w:val="59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802 1 08 00000 00 0000 000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7,50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802 1 08 04020 01 0000 110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7,50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802 1 11 09000 00 0000 120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802 1 11 09045 10 0000 120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</w:t>
            </w:r>
          </w:p>
        </w:tc>
      </w:tr>
      <w:tr w:rsidR="000E6918" w:rsidRPr="000E6918" w:rsidTr="000E6918">
        <w:trPr>
          <w:trHeight w:val="69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1,80</w:t>
            </w:r>
          </w:p>
        </w:tc>
      </w:tr>
      <w:tr w:rsidR="000E6918" w:rsidRPr="000E6918" w:rsidTr="000E6918">
        <w:trPr>
          <w:trHeight w:val="96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802 1 17 05050 10 0000 150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</w:tr>
      <w:tr w:rsidR="000E6918" w:rsidRPr="000E6918" w:rsidTr="000E6918">
        <w:trPr>
          <w:trHeight w:val="125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Средства самообложения граждан, зачисляемые в бюджеты сельских 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802 1 17 14030 10 0000 150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1,80</w:t>
            </w:r>
          </w:p>
        </w:tc>
      </w:tr>
      <w:tr w:rsidR="000E6918" w:rsidRPr="000E6918" w:rsidTr="000E6918">
        <w:trPr>
          <w:trHeight w:val="69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БЕЗВОЗМЕЗДНЫЕ ПОСТУПЛЕНИЯ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802 2 00 00000 00 0000 000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9 853,90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9 853,50</w:t>
            </w:r>
          </w:p>
        </w:tc>
      </w:tr>
      <w:tr w:rsidR="000E6918" w:rsidRPr="000E6918" w:rsidTr="000E6918">
        <w:trPr>
          <w:trHeight w:val="82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ПОСТУПЛЕНИЯ ДОТАЦИЙ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8 676,10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8 675,70</w:t>
            </w:r>
          </w:p>
        </w:tc>
      </w:tr>
      <w:tr w:rsidR="000E6918" w:rsidRPr="000E6918" w:rsidTr="000E6918">
        <w:trPr>
          <w:trHeight w:val="125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802 2 02 16001 10 0000 150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3097,40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3097,00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5578,7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5578,7</w:t>
            </w:r>
          </w:p>
        </w:tc>
      </w:tr>
      <w:tr w:rsidR="000E6918" w:rsidRPr="000E6918" w:rsidTr="000E6918">
        <w:trPr>
          <w:trHeight w:val="61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802 2 02 29999 10 0000 150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132,1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132,1</w:t>
            </w:r>
          </w:p>
        </w:tc>
      </w:tr>
      <w:tr w:rsidR="000E6918" w:rsidRPr="000E6918" w:rsidTr="000E6918">
        <w:trPr>
          <w:trHeight w:val="95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802 2 02 03000 00 0000 150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802 2 02 03015 00 0000 150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</w:tr>
      <w:tr w:rsidR="000E6918" w:rsidRPr="000E6918" w:rsidTr="000E6918">
        <w:trPr>
          <w:trHeight w:val="75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802 2 02 04000 00 0000 150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893,40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893,40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893,40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893,40</w:t>
            </w:r>
          </w:p>
        </w:tc>
      </w:tr>
    </w:tbl>
    <w:p w:rsidR="00F30331" w:rsidRDefault="00F30331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D368A3" w:rsidRPr="00700B2F" w:rsidRDefault="00D368A3" w:rsidP="00441BD8">
      <w:pPr>
        <w:pStyle w:val="a6"/>
        <w:rPr>
          <w:b/>
          <w:sz w:val="24"/>
          <w:lang w:val="en-US"/>
        </w:rPr>
      </w:pPr>
    </w:p>
    <w:p w:rsidR="00F30331" w:rsidRDefault="00F30331" w:rsidP="00441BD8">
      <w:pPr>
        <w:pStyle w:val="a6"/>
        <w:rPr>
          <w:b/>
          <w:sz w:val="24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313"/>
        <w:gridCol w:w="477"/>
        <w:gridCol w:w="1270"/>
        <w:gridCol w:w="594"/>
        <w:gridCol w:w="597"/>
        <w:gridCol w:w="818"/>
        <w:gridCol w:w="393"/>
        <w:gridCol w:w="3041"/>
        <w:gridCol w:w="1564"/>
        <w:gridCol w:w="1565"/>
      </w:tblGrid>
      <w:tr w:rsidR="001A01A7" w:rsidTr="00FB6330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8A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0E6918" w:rsidRDefault="000E6918" w:rsidP="00700B2F">
            <w:pPr>
              <w:pStyle w:val="a3"/>
              <w:jc w:val="right"/>
              <w:rPr>
                <w:sz w:val="24"/>
              </w:rPr>
            </w:pPr>
          </w:p>
          <w:p w:rsidR="000E6918" w:rsidRDefault="000E6918" w:rsidP="00700B2F">
            <w:pPr>
              <w:pStyle w:val="a3"/>
              <w:jc w:val="right"/>
              <w:rPr>
                <w:sz w:val="24"/>
              </w:rPr>
            </w:pPr>
          </w:p>
          <w:p w:rsidR="000E6918" w:rsidRDefault="000E6918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700B2F" w:rsidRPr="00B7389E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700B2F">
              <w:rPr>
                <w:sz w:val="24"/>
              </w:rPr>
              <w:t xml:space="preserve">Приложение </w:t>
            </w:r>
            <w:r w:rsidR="00700B2F" w:rsidRPr="00B7389E">
              <w:rPr>
                <w:sz w:val="24"/>
              </w:rPr>
              <w:t>2</w:t>
            </w:r>
          </w:p>
          <w:p w:rsidR="00700B2F" w:rsidRPr="00272AC7" w:rsidRDefault="00700B2F" w:rsidP="00700B2F">
            <w:pPr>
              <w:ind w:right="-81"/>
              <w:jc w:val="right"/>
            </w:pPr>
            <w:r>
              <w:t xml:space="preserve">                                                                               </w:t>
            </w:r>
            <w:r w:rsidRPr="00272AC7">
              <w:t xml:space="preserve">К Решению Совета сельского 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«Хушенгинское» </w:t>
            </w:r>
            <w:r w:rsidR="00A87F90">
              <w:rPr>
                <w:sz w:val="24"/>
              </w:rPr>
              <w:t>№60</w:t>
            </w:r>
            <w:r>
              <w:rPr>
                <w:sz w:val="24"/>
              </w:rPr>
              <w:t xml:space="preserve"> </w:t>
            </w:r>
            <w:r w:rsidRPr="00272AC7">
              <w:rPr>
                <w:sz w:val="24"/>
              </w:rPr>
              <w:t xml:space="preserve">от </w:t>
            </w:r>
            <w:r w:rsidR="0061228A">
              <w:rPr>
                <w:sz w:val="24"/>
              </w:rPr>
              <w:t>«</w:t>
            </w:r>
            <w:r w:rsidR="00A87F90">
              <w:rPr>
                <w:sz w:val="24"/>
              </w:rPr>
              <w:t>27</w:t>
            </w:r>
            <w:r>
              <w:rPr>
                <w:sz w:val="24"/>
              </w:rPr>
              <w:t xml:space="preserve">» </w:t>
            </w:r>
            <w:r w:rsidR="000E6918">
              <w:rPr>
                <w:sz w:val="24"/>
              </w:rPr>
              <w:t>апреля</w:t>
            </w:r>
            <w:r>
              <w:rPr>
                <w:sz w:val="24"/>
              </w:rPr>
              <w:t xml:space="preserve"> 202</w:t>
            </w:r>
            <w:r w:rsidR="000E6918">
              <w:rPr>
                <w:sz w:val="24"/>
              </w:rPr>
              <w:t>3</w:t>
            </w:r>
            <w:r w:rsidRPr="00272AC7">
              <w:rPr>
                <w:sz w:val="24"/>
              </w:rPr>
              <w:t>г.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поселения «Хушенгинское» за 202</w:t>
            </w:r>
            <w:r w:rsidR="000E6918">
              <w:rPr>
                <w:sz w:val="24"/>
              </w:rPr>
              <w:t>2</w:t>
            </w:r>
            <w:r>
              <w:rPr>
                <w:sz w:val="24"/>
              </w:rPr>
              <w:t xml:space="preserve">г                                                                                  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61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ФУНКЦИОНАЛЬНАЯ СТРУКТУРА РАСХОДОВ БЮДЖЕТА СЕЛЬСКОГО ПОСЕЛЕНИЯ "ХУШЕНГИНСКОЕ" </w:t>
            </w:r>
            <w:r w:rsidR="00C96964">
              <w:rPr>
                <w:b/>
                <w:bCs/>
              </w:rPr>
              <w:t>НА 2022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FB6330">
        <w:trPr>
          <w:trHeight w:val="63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6878,45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A8407E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6785,7</w:t>
            </w:r>
          </w:p>
        </w:tc>
      </w:tr>
      <w:tr w:rsidR="001A01A7" w:rsidTr="00FB6330">
        <w:trPr>
          <w:trHeight w:val="55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C96964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C96964" w:rsidP="0034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707,8</w:t>
            </w:r>
          </w:p>
        </w:tc>
      </w:tr>
      <w:tr w:rsidR="001A01A7" w:rsidTr="00FB633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0104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954580" w:rsidRDefault="001855A9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1 682,3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1855A9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1 671,4</w:t>
            </w:r>
          </w:p>
        </w:tc>
      </w:tr>
      <w:tr w:rsidR="001A01A7" w:rsidTr="00FB6330">
        <w:trPr>
          <w:trHeight w:val="38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0113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A8407E" w:rsidRDefault="00D21332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4 488,3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A8407E" w:rsidRDefault="00D21332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4 406,5</w:t>
            </w:r>
          </w:p>
        </w:tc>
      </w:tr>
      <w:tr w:rsidR="00E32CF8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114A0B" w:rsidRDefault="00DF2F58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114A0B" w:rsidRDefault="00DF2F58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152,3</w:t>
            </w:r>
          </w:p>
        </w:tc>
      </w:tr>
      <w:tr w:rsidR="001A01A7" w:rsidTr="00FB6330">
        <w:trPr>
          <w:trHeight w:val="37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0203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152,3</w:t>
            </w:r>
          </w:p>
        </w:tc>
      </w:tr>
      <w:tr w:rsidR="001A01A7" w:rsidTr="00FB6330">
        <w:trPr>
          <w:trHeight w:val="34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DF2F58" w:rsidP="008D3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398,8</w:t>
            </w:r>
          </w:p>
        </w:tc>
      </w:tr>
      <w:tr w:rsidR="001A01A7" w:rsidTr="00FB6330">
        <w:trPr>
          <w:trHeight w:val="50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393,8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601,5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69564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69564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0503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695648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695648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8407E" w:rsidTr="00FB6330">
        <w:trPr>
          <w:trHeight w:val="33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2 419,4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2 419,4</w:t>
            </w:r>
          </w:p>
        </w:tc>
      </w:tr>
      <w:tr w:rsidR="00A8407E" w:rsidRPr="00B7389E" w:rsidTr="00FB6330">
        <w:trPr>
          <w:trHeight w:val="42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0801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695648" w:rsidP="00B7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B7389E" w:rsidRDefault="0069564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DF2F58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DF2F58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DF2F58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DF2F58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1403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DF2F5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DF2F5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20736C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10805,2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10702,6</w:t>
            </w:r>
          </w:p>
        </w:tc>
      </w:tr>
      <w:tr w:rsidR="00A8407E" w:rsidRPr="007F5408" w:rsidTr="00FB6330">
        <w:trPr>
          <w:trHeight w:val="124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8407E" w:rsidRPr="007F5408" w:rsidRDefault="00A8407E">
            <w:pPr>
              <w:jc w:val="center"/>
              <w:rPr>
                <w:b/>
                <w:bCs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7E" w:rsidRPr="007F5408" w:rsidRDefault="00A8407E" w:rsidP="00FB6330">
            <w:pPr>
              <w:jc w:val="right"/>
              <w:rPr>
                <w:bCs/>
              </w:rPr>
            </w:pPr>
            <w:r w:rsidRPr="007F5408">
              <w:rPr>
                <w:bCs/>
              </w:rPr>
              <w:t>Приложение 3</w:t>
            </w:r>
          </w:p>
          <w:p w:rsidR="00A8407E" w:rsidRPr="007F5408" w:rsidRDefault="00A8407E" w:rsidP="00FB6330">
            <w:pPr>
              <w:ind w:right="-81"/>
              <w:jc w:val="right"/>
            </w:pPr>
            <w:r w:rsidRPr="007F5408">
              <w:t xml:space="preserve">К Решению Совета сельского </w:t>
            </w:r>
          </w:p>
          <w:p w:rsidR="00A8407E" w:rsidRPr="007F5408" w:rsidRDefault="00A8407E" w:rsidP="00FB6330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</w:t>
            </w:r>
            <w:r w:rsidR="007F5408" w:rsidRPr="007F5408">
              <w:rPr>
                <w:sz w:val="24"/>
              </w:rPr>
              <w:t xml:space="preserve">   </w:t>
            </w:r>
            <w:r w:rsidR="00A87F90">
              <w:rPr>
                <w:sz w:val="24"/>
              </w:rPr>
              <w:t xml:space="preserve"> Поселения «Хушенгинское» №60</w:t>
            </w:r>
            <w:r w:rsidRPr="007F5408">
              <w:rPr>
                <w:sz w:val="24"/>
              </w:rPr>
              <w:t xml:space="preserve"> от «</w:t>
            </w:r>
            <w:r w:rsidR="00A87F90">
              <w:rPr>
                <w:sz w:val="24"/>
              </w:rPr>
              <w:t>27</w:t>
            </w:r>
            <w:r w:rsidRPr="007F5408">
              <w:rPr>
                <w:sz w:val="24"/>
              </w:rPr>
              <w:t xml:space="preserve">» </w:t>
            </w:r>
            <w:r w:rsidR="007F5408" w:rsidRPr="007F5408">
              <w:rPr>
                <w:sz w:val="24"/>
              </w:rPr>
              <w:t>апреля</w:t>
            </w:r>
            <w:r w:rsidRPr="007F5408">
              <w:rPr>
                <w:sz w:val="24"/>
              </w:rPr>
              <w:t xml:space="preserve"> 202</w:t>
            </w:r>
            <w:r w:rsidR="007F5408" w:rsidRPr="007F5408">
              <w:rPr>
                <w:sz w:val="24"/>
              </w:rPr>
              <w:t>3</w:t>
            </w:r>
            <w:r w:rsidRPr="007F5408">
              <w:rPr>
                <w:sz w:val="24"/>
              </w:rPr>
              <w:t>г.</w:t>
            </w:r>
          </w:p>
          <w:p w:rsidR="00A8407E" w:rsidRPr="007F5408" w:rsidRDefault="00A8407E" w:rsidP="00FB6330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  <w:p w:rsidR="00A8407E" w:rsidRPr="007F5408" w:rsidRDefault="00A8407E" w:rsidP="00FB6330">
            <w:pPr>
              <w:jc w:val="right"/>
              <w:rPr>
                <w:b/>
                <w:bCs/>
              </w:rPr>
            </w:pPr>
            <w:r w:rsidRPr="007F5408">
              <w:t xml:space="preserve">                                                                              поселения «Хушенгинское» за 202</w:t>
            </w:r>
            <w:r w:rsidR="007F5408" w:rsidRPr="007F5408">
              <w:t>2</w:t>
            </w:r>
            <w:r w:rsidRPr="007F5408">
              <w:t xml:space="preserve">г                                                                                   </w:t>
            </w: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ВЕДОМСТВЕННАЯ СТРУКТУРА</w:t>
            </w:r>
            <w:r w:rsidR="007F5408" w:rsidRPr="007F5408">
              <w:rPr>
                <w:b/>
                <w:bCs/>
              </w:rPr>
              <w:t xml:space="preserve"> БЮДЖЕТА </w:t>
            </w: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СЕЛЬСКОГО ПОСЕЛЕНИЯ "ХУШЕНГИНСКОЕ"</w:t>
            </w:r>
            <w:r w:rsidR="007F5408" w:rsidRPr="007F5408">
              <w:rPr>
                <w:b/>
                <w:bCs/>
              </w:rPr>
              <w:t xml:space="preserve"> НА 2022 год</w:t>
            </w:r>
          </w:p>
          <w:tbl>
            <w:tblPr>
              <w:tblW w:w="10349" w:type="dxa"/>
              <w:tblLayout w:type="fixed"/>
              <w:tblLook w:val="04A0"/>
            </w:tblPr>
            <w:tblGrid>
              <w:gridCol w:w="3118"/>
              <w:gridCol w:w="709"/>
              <w:gridCol w:w="567"/>
              <w:gridCol w:w="567"/>
              <w:gridCol w:w="1559"/>
              <w:gridCol w:w="660"/>
              <w:gridCol w:w="760"/>
              <w:gridCol w:w="1274"/>
              <w:gridCol w:w="1135"/>
            </w:tblGrid>
            <w:tr w:rsidR="007F5408" w:rsidRPr="007F5408" w:rsidTr="007F5408">
              <w:trPr>
                <w:trHeight w:val="120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Р3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7F5408">
                    <w:rPr>
                      <w:b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Эк </w:t>
                  </w:r>
                  <w:proofErr w:type="spellStart"/>
                  <w:proofErr w:type="gramStart"/>
                  <w:r w:rsidRPr="007F5408">
                    <w:rPr>
                      <w:b/>
                      <w:bCs/>
                      <w:sz w:val="22"/>
                      <w:szCs w:val="22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утверждено бюджетные назначения 2022 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исполнено 2022 г.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6878,40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6785,70</w:t>
                  </w:r>
                </w:p>
              </w:tc>
            </w:tr>
            <w:tr w:rsidR="007F5408" w:rsidRPr="007F5408" w:rsidTr="007F5408">
              <w:trPr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707,80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707,80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707,80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707,80</w:t>
                  </w:r>
                </w:p>
              </w:tc>
            </w:tr>
            <w:tr w:rsidR="007F5408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707,80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707,80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544,60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544,60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163,20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163,20</w:t>
                  </w:r>
                </w:p>
              </w:tc>
            </w:tr>
            <w:tr w:rsidR="007F5408" w:rsidRPr="007F5408" w:rsidTr="007F5408">
              <w:trPr>
                <w:trHeight w:val="12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1682,40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1671,40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1682,40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1671,40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1682,40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1671,40</w:t>
                  </w:r>
                </w:p>
              </w:tc>
            </w:tr>
            <w:tr w:rsidR="007F5408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1413,20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1413,20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1095,70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1095,70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317,50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317,50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51,10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51,10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lastRenderedPageBreak/>
                    <w:t>в том числе интернет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51,10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51,10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заправка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катриджа</w:t>
                  </w:r>
                  <w:proofErr w:type="spellEnd"/>
                  <w:r w:rsidRPr="007F5408">
                    <w:rPr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88,40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88,40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- программное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83,30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83,30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- 1С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83,30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83,30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автострахование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122,80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дрова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канцелярские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гсм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45,80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4488,20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4406,50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6,70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4475,20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4393,50</w:t>
                  </w:r>
                </w:p>
              </w:tc>
            </w:tr>
            <w:tr w:rsidR="007F5408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4475,20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4393,50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Оплата труда и начисления на </w:t>
                  </w:r>
                  <w:r w:rsidRPr="007F5408">
                    <w:rPr>
                      <w:sz w:val="22"/>
                      <w:szCs w:val="22"/>
                    </w:rPr>
                    <w:lastRenderedPageBreak/>
                    <w:t>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4255,40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4255,40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 xml:space="preserve">Заработная плата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3272,60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3272,60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982,80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982,80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29,20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электроэнергия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-ТКО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Олерон+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Прочие работы и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-Оплата по договорам ГПХ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103,70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103,70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0,20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-Членские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81,70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81,70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152,30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152,30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152,30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152,30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117,00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117,00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35,30</w:t>
                  </w:r>
                </w:p>
              </w:tc>
            </w:tr>
            <w:tr w:rsidR="007F5408" w:rsidRPr="007F5408" w:rsidTr="007F5408">
              <w:trPr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398,80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398,80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 xml:space="preserve">увеличение </w:t>
                  </w:r>
                  <w:proofErr w:type="spellStart"/>
                  <w:r w:rsidRPr="007F5408">
                    <w:rPr>
                      <w:color w:val="000000"/>
                      <w:sz w:val="22"/>
                      <w:szCs w:val="22"/>
                    </w:rPr>
                    <w:t>стоиморсти</w:t>
                  </w:r>
                  <w:proofErr w:type="spellEnd"/>
                  <w:r w:rsidRPr="007F5408">
                    <w:rPr>
                      <w:color w:val="000000"/>
                      <w:sz w:val="22"/>
                      <w:szCs w:val="22"/>
                    </w:rPr>
                    <w:t xml:space="preserve"> ГСМ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393,80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393,80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- минерализация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151,40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- отжиг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F5408">
                    <w:rPr>
                      <w:color w:val="000000"/>
                      <w:sz w:val="22"/>
                      <w:szCs w:val="22"/>
                    </w:rPr>
                    <w:t>гсм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F5408">
                    <w:rPr>
                      <w:color w:val="000000"/>
                      <w:sz w:val="22"/>
                      <w:szCs w:val="22"/>
                    </w:rPr>
                    <w:t>гсм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0000009218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601,50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601,50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591,50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591,50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450,50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450,50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448,60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448,60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448,60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448,60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76,80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76,80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371,80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371,80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00000S4905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00000S4905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00000S4905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00000S4905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культура и кинема</w:t>
                  </w:r>
                  <w:r w:rsidRPr="007F5408">
                    <w:rPr>
                      <w:b/>
                      <w:bCs/>
                      <w:sz w:val="22"/>
                      <w:szCs w:val="22"/>
                    </w:rPr>
                    <w:t>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2419,30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2419,30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7F5408" w:rsidRPr="007F5408" w:rsidTr="007F5408">
              <w:trPr>
                <w:trHeight w:val="12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2004,40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2004,40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</w:tr>
            <w:tr w:rsidR="007F5408" w:rsidRPr="007F5408" w:rsidTr="007F5408">
              <w:trPr>
                <w:trHeight w:val="27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безвозмездные перечисления текущего характера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</w:tr>
            <w:tr w:rsidR="007F5408" w:rsidRPr="007F5408" w:rsidTr="007F5408">
              <w:trPr>
                <w:trHeight w:val="5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>безвозмездные перечисления (передачи) текущего характера сектора 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</w:tr>
            <w:tr w:rsidR="007F5408" w:rsidRPr="007F5408" w:rsidTr="007F5408">
              <w:trPr>
                <w:trHeight w:val="69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</w:t>
                  </w:r>
                  <w:r w:rsidRPr="007F5408">
                    <w:rPr>
                      <w:b/>
                      <w:bCs/>
                      <w:sz w:val="22"/>
                      <w:szCs w:val="22"/>
                    </w:rPr>
                    <w:lastRenderedPageBreak/>
                    <w:t>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406,90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406,90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</w:tr>
            <w:tr w:rsidR="007F5408" w:rsidRPr="007F5408" w:rsidTr="007F5408">
              <w:trPr>
                <w:trHeight w:val="5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безвозмездные перечисления текущего характера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</w:tr>
            <w:tr w:rsidR="007F5408" w:rsidRPr="007F5408" w:rsidTr="007F5408">
              <w:trPr>
                <w:trHeight w:val="5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>безвозмездные перечисления (передачи) текущего характера сектора 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 xml:space="preserve">социальная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пособия, компенсации и иные социальные выплаты гражданам кроме публичных нормативных обязательств доплата к пенсиям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пенсии, пособия, выплачиваемые работодателями, нанимателями бывшим работникам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0000019101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безвозмездные перечисления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sz w:val="22"/>
                      <w:szCs w:val="22"/>
                    </w:rPr>
                  </w:pPr>
                  <w:r w:rsidRPr="007F5408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10805,20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10702,50</w:t>
                  </w:r>
                </w:p>
              </w:tc>
            </w:tr>
          </w:tbl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Pr="007F5408" w:rsidRDefault="007F5408" w:rsidP="007F5408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Приложение 4</w:t>
            </w:r>
          </w:p>
          <w:p w:rsidR="007F5408" w:rsidRPr="007F5408" w:rsidRDefault="007F5408" w:rsidP="007F5408">
            <w:pPr>
              <w:ind w:right="-81"/>
              <w:jc w:val="right"/>
            </w:pPr>
            <w:r w:rsidRPr="007F5408">
              <w:t xml:space="preserve">К Решению Совета сельского </w:t>
            </w:r>
          </w:p>
          <w:p w:rsidR="007F5408" w:rsidRPr="007F5408" w:rsidRDefault="007F5408" w:rsidP="007F5408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</w:t>
            </w:r>
            <w:r w:rsidR="00A87F90">
              <w:rPr>
                <w:sz w:val="24"/>
              </w:rPr>
              <w:t xml:space="preserve">  Поселения «Хушенгинское» №60</w:t>
            </w:r>
            <w:r w:rsidRPr="007F5408">
              <w:rPr>
                <w:sz w:val="24"/>
              </w:rPr>
              <w:t xml:space="preserve"> от «</w:t>
            </w:r>
            <w:r w:rsidR="00A87F90">
              <w:rPr>
                <w:sz w:val="24"/>
              </w:rPr>
              <w:t>27</w:t>
            </w:r>
            <w:r w:rsidRPr="007F5408">
              <w:rPr>
                <w:sz w:val="24"/>
              </w:rPr>
              <w:t>» апреля 2023г.</w:t>
            </w:r>
          </w:p>
          <w:p w:rsidR="007F5408" w:rsidRPr="007F5408" w:rsidRDefault="007F5408" w:rsidP="007F5408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  <w:p w:rsidR="007F5408" w:rsidRDefault="007F5408" w:rsidP="007F5408">
            <w:pPr>
              <w:jc w:val="right"/>
            </w:pPr>
            <w:r w:rsidRPr="007F5408">
              <w:t xml:space="preserve">                                                                              поселения «Хушенгинское» за 2022г</w:t>
            </w:r>
          </w:p>
          <w:p w:rsidR="007F5408" w:rsidRDefault="007F5408" w:rsidP="007F5408">
            <w:pPr>
              <w:jc w:val="right"/>
            </w:pPr>
          </w:p>
          <w:p w:rsidR="007F5408" w:rsidRDefault="007F5408" w:rsidP="007F5408">
            <w:pPr>
              <w:jc w:val="center"/>
              <w:rPr>
                <w:b/>
              </w:rPr>
            </w:pPr>
            <w:r w:rsidRPr="007F5408">
              <w:rPr>
                <w:b/>
              </w:rPr>
              <w:t>ЭКОНОМИЧЕСКА СТРУКТУРА РАСХОДОВ БЮДЖЕТА СЕЛЬСКОГО ПОСЕЛЕНИЯ «ХУШЕНГИНСКОЕ» НА 2022 год.</w:t>
            </w:r>
          </w:p>
          <w:p w:rsidR="007F5408" w:rsidRDefault="007F5408" w:rsidP="007F5408">
            <w:pPr>
              <w:jc w:val="center"/>
              <w:rPr>
                <w:b/>
              </w:rPr>
            </w:pPr>
          </w:p>
          <w:tbl>
            <w:tblPr>
              <w:tblW w:w="9560" w:type="dxa"/>
              <w:tblLayout w:type="fixed"/>
              <w:tblLook w:val="04A0"/>
            </w:tblPr>
            <w:tblGrid>
              <w:gridCol w:w="4400"/>
              <w:gridCol w:w="1720"/>
              <w:gridCol w:w="1720"/>
              <w:gridCol w:w="1720"/>
            </w:tblGrid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 xml:space="preserve"> 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Код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назначено на 2022 г.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исполнено на 2022 г.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экономической статьи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5408" w:rsidRPr="007F5408" w:rsidRDefault="007F5408" w:rsidP="007F5408"/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5408" w:rsidRPr="007F5408" w:rsidRDefault="007F5408" w:rsidP="007F5408"/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Оплата труда и начисления на оплату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6528,70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6528,70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Заработная плата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5029,90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5029,90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Прочие выплаты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Начисления на оплату труда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1498,80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1498,80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Приобретение услуг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1325,50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1325,50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связи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51,10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51,10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Коммунальные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169,00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169,00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по содержанию имуществом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381,00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381,00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719,30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719,30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страхование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5,10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5,10</w:t>
                  </w:r>
                </w:p>
              </w:tc>
            </w:tr>
            <w:tr w:rsidR="007F5408" w:rsidRPr="007F5408" w:rsidTr="007F5408">
              <w:trPr>
                <w:trHeight w:val="640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Безвозме</w:t>
                  </w:r>
                  <w:r>
                    <w:rPr>
                      <w:b/>
                      <w:bCs/>
                    </w:rPr>
                    <w:t>здные и безвозвратные перечисле</w:t>
                  </w:r>
                  <w:r w:rsidRPr="007F5408">
                    <w:rPr>
                      <w:b/>
                      <w:bCs/>
                    </w:rPr>
                    <w:t>ния организации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240</w:t>
                  </w:r>
                </w:p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2411,30</w:t>
                  </w:r>
                </w:p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2411,30</w:t>
                  </w:r>
                </w:p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t> 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241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2411,30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2411,30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Безвозмездные перечисления бюджетам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Перечисления другим бюджетам бюджетной системы РФ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251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3,50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3,50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Социальное обеспечение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351,40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630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351,40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расходы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14,10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14,10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налоги, пошлины и сборы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291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9,10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9,10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членские взносы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297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5,00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170,70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78,00</w:t>
                  </w:r>
                </w:p>
              </w:tc>
            </w:tr>
            <w:tr w:rsidR="007F5408" w:rsidRPr="007F5408" w:rsidTr="007F5408">
              <w:trPr>
                <w:trHeight w:val="64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170,70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78,00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  <w:r>
                    <w:t>Увеличение стоимости ГСМ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343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67,70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61,10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  <w:r>
                    <w:t>Увеличение стоимости прочих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346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103,00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16,90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10805,20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10702,50</w:t>
                  </w:r>
                </w:p>
              </w:tc>
            </w:tr>
          </w:tbl>
          <w:p w:rsidR="007F5408" w:rsidRPr="007F5408" w:rsidRDefault="007F5408" w:rsidP="007F5408">
            <w:pPr>
              <w:jc w:val="center"/>
              <w:rPr>
                <w:b/>
                <w:bCs/>
              </w:rPr>
            </w:pPr>
          </w:p>
        </w:tc>
      </w:tr>
    </w:tbl>
    <w:p w:rsidR="00536A08" w:rsidRPr="007F5408" w:rsidRDefault="00536A08" w:rsidP="0014247E">
      <w:pPr>
        <w:jc w:val="both"/>
        <w:rPr>
          <w:sz w:val="28"/>
          <w:szCs w:val="28"/>
        </w:rPr>
      </w:pPr>
    </w:p>
    <w:sectPr w:rsidR="00536A08" w:rsidRPr="007F5408" w:rsidSect="00FB6330">
      <w:footerReference w:type="even" r:id="rId8"/>
      <w:footerReference w:type="default" r:id="rId9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01" w:rsidRDefault="004A1101">
      <w:r>
        <w:separator/>
      </w:r>
    </w:p>
  </w:endnote>
  <w:endnote w:type="continuationSeparator" w:id="0">
    <w:p w:rsidR="004A1101" w:rsidRDefault="004A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2F" w:rsidRDefault="00F903CB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01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012F" w:rsidRDefault="00E2012F" w:rsidP="004428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28610"/>
      <w:docPartObj>
        <w:docPartGallery w:val="Page Numbers (Bottom of Page)"/>
        <w:docPartUnique/>
      </w:docPartObj>
    </w:sdtPr>
    <w:sdtContent>
      <w:p w:rsidR="00E2012F" w:rsidRDefault="00F903CB">
        <w:pPr>
          <w:pStyle w:val="a8"/>
          <w:jc w:val="right"/>
        </w:pPr>
        <w:fldSimple w:instr=" PAGE   \* MERGEFORMAT ">
          <w:r w:rsidR="00A87F90">
            <w:rPr>
              <w:noProof/>
            </w:rPr>
            <w:t>12</w:t>
          </w:r>
        </w:fldSimple>
      </w:p>
    </w:sdtContent>
  </w:sdt>
  <w:p w:rsidR="00E2012F" w:rsidRDefault="00E2012F" w:rsidP="004428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01" w:rsidRDefault="004A1101">
      <w:r>
        <w:separator/>
      </w:r>
    </w:p>
  </w:footnote>
  <w:footnote w:type="continuationSeparator" w:id="0">
    <w:p w:rsidR="004A1101" w:rsidRDefault="004A1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DF"/>
    <w:rsid w:val="00001106"/>
    <w:rsid w:val="00002FE6"/>
    <w:rsid w:val="000032F4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4EDF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0352"/>
    <w:rsid w:val="00081232"/>
    <w:rsid w:val="000844DA"/>
    <w:rsid w:val="000859EF"/>
    <w:rsid w:val="00086845"/>
    <w:rsid w:val="00086BE6"/>
    <w:rsid w:val="000870C5"/>
    <w:rsid w:val="00087C1C"/>
    <w:rsid w:val="00090E9B"/>
    <w:rsid w:val="00091DBA"/>
    <w:rsid w:val="00093287"/>
    <w:rsid w:val="00095E1A"/>
    <w:rsid w:val="00097FF7"/>
    <w:rsid w:val="000A2418"/>
    <w:rsid w:val="000A2552"/>
    <w:rsid w:val="000A7D6F"/>
    <w:rsid w:val="000B1E5D"/>
    <w:rsid w:val="000B339F"/>
    <w:rsid w:val="000C0796"/>
    <w:rsid w:val="000C0D11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4B1E"/>
    <w:rsid w:val="000D52A1"/>
    <w:rsid w:val="000D5BFF"/>
    <w:rsid w:val="000E0018"/>
    <w:rsid w:val="000E3F35"/>
    <w:rsid w:val="000E6918"/>
    <w:rsid w:val="000E7B5F"/>
    <w:rsid w:val="000F12EB"/>
    <w:rsid w:val="000F3482"/>
    <w:rsid w:val="000F5062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4A0B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247E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7660E"/>
    <w:rsid w:val="00180170"/>
    <w:rsid w:val="00182B17"/>
    <w:rsid w:val="001855A9"/>
    <w:rsid w:val="00185649"/>
    <w:rsid w:val="00186FB7"/>
    <w:rsid w:val="00187766"/>
    <w:rsid w:val="0019005C"/>
    <w:rsid w:val="001922E2"/>
    <w:rsid w:val="0019458F"/>
    <w:rsid w:val="00194A4D"/>
    <w:rsid w:val="001956DB"/>
    <w:rsid w:val="00197051"/>
    <w:rsid w:val="001A01A7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74E6"/>
    <w:rsid w:val="001D7FFB"/>
    <w:rsid w:val="001E0CAC"/>
    <w:rsid w:val="001E0EA0"/>
    <w:rsid w:val="001E2227"/>
    <w:rsid w:val="001F093C"/>
    <w:rsid w:val="001F138C"/>
    <w:rsid w:val="001F1B38"/>
    <w:rsid w:val="001F49E8"/>
    <w:rsid w:val="001F4B6F"/>
    <w:rsid w:val="001F618E"/>
    <w:rsid w:val="001F6421"/>
    <w:rsid w:val="001F6500"/>
    <w:rsid w:val="001F77B7"/>
    <w:rsid w:val="002037A9"/>
    <w:rsid w:val="00205FF2"/>
    <w:rsid w:val="00207362"/>
    <w:rsid w:val="0020736C"/>
    <w:rsid w:val="00207AEC"/>
    <w:rsid w:val="00211AF9"/>
    <w:rsid w:val="002128C4"/>
    <w:rsid w:val="00215EC8"/>
    <w:rsid w:val="0021726F"/>
    <w:rsid w:val="00220803"/>
    <w:rsid w:val="00225298"/>
    <w:rsid w:val="0022681D"/>
    <w:rsid w:val="0022767B"/>
    <w:rsid w:val="0023121D"/>
    <w:rsid w:val="0023496A"/>
    <w:rsid w:val="0023554D"/>
    <w:rsid w:val="0023597D"/>
    <w:rsid w:val="00235A15"/>
    <w:rsid w:val="00237CF8"/>
    <w:rsid w:val="00241F1C"/>
    <w:rsid w:val="00241F3C"/>
    <w:rsid w:val="00243246"/>
    <w:rsid w:val="00247C9F"/>
    <w:rsid w:val="00247D4B"/>
    <w:rsid w:val="00250436"/>
    <w:rsid w:val="00250756"/>
    <w:rsid w:val="002511D4"/>
    <w:rsid w:val="00255116"/>
    <w:rsid w:val="00257684"/>
    <w:rsid w:val="002606B6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83B"/>
    <w:rsid w:val="00321D34"/>
    <w:rsid w:val="00322275"/>
    <w:rsid w:val="00323BC8"/>
    <w:rsid w:val="00324815"/>
    <w:rsid w:val="003255C6"/>
    <w:rsid w:val="00330CDC"/>
    <w:rsid w:val="00330E00"/>
    <w:rsid w:val="0033277D"/>
    <w:rsid w:val="00335394"/>
    <w:rsid w:val="00341FCE"/>
    <w:rsid w:val="00342F10"/>
    <w:rsid w:val="00345EAA"/>
    <w:rsid w:val="003473F4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EDB"/>
    <w:rsid w:val="003A4F84"/>
    <w:rsid w:val="003A6080"/>
    <w:rsid w:val="003A7B02"/>
    <w:rsid w:val="003B1AF1"/>
    <w:rsid w:val="003B367E"/>
    <w:rsid w:val="003B3E83"/>
    <w:rsid w:val="003B4496"/>
    <w:rsid w:val="003C45C3"/>
    <w:rsid w:val="003C5AAE"/>
    <w:rsid w:val="003C5D33"/>
    <w:rsid w:val="003C779C"/>
    <w:rsid w:val="003D0BB3"/>
    <w:rsid w:val="003D0D1A"/>
    <w:rsid w:val="003D1AB9"/>
    <w:rsid w:val="003D434C"/>
    <w:rsid w:val="003D4691"/>
    <w:rsid w:val="003D65C0"/>
    <w:rsid w:val="003F06ED"/>
    <w:rsid w:val="003F1A4B"/>
    <w:rsid w:val="003F1D15"/>
    <w:rsid w:val="00401A3E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A84"/>
    <w:rsid w:val="00441BD8"/>
    <w:rsid w:val="004428E7"/>
    <w:rsid w:val="004453AE"/>
    <w:rsid w:val="00445920"/>
    <w:rsid w:val="00450AE5"/>
    <w:rsid w:val="0045550A"/>
    <w:rsid w:val="00461854"/>
    <w:rsid w:val="004665E8"/>
    <w:rsid w:val="00466B26"/>
    <w:rsid w:val="00470C66"/>
    <w:rsid w:val="00471348"/>
    <w:rsid w:val="00471FDF"/>
    <w:rsid w:val="004727F2"/>
    <w:rsid w:val="004836FF"/>
    <w:rsid w:val="00483A7F"/>
    <w:rsid w:val="00484AF4"/>
    <w:rsid w:val="00485827"/>
    <w:rsid w:val="00487148"/>
    <w:rsid w:val="004879FD"/>
    <w:rsid w:val="00496607"/>
    <w:rsid w:val="004A00C1"/>
    <w:rsid w:val="004A1101"/>
    <w:rsid w:val="004A182E"/>
    <w:rsid w:val="004A63CC"/>
    <w:rsid w:val="004B0DC5"/>
    <w:rsid w:val="004B14EB"/>
    <w:rsid w:val="004B28AA"/>
    <w:rsid w:val="004B29C1"/>
    <w:rsid w:val="004B34A6"/>
    <w:rsid w:val="004B45F4"/>
    <w:rsid w:val="004B7FCA"/>
    <w:rsid w:val="004C0412"/>
    <w:rsid w:val="004C0ED1"/>
    <w:rsid w:val="004C721F"/>
    <w:rsid w:val="004D1411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6E88"/>
    <w:rsid w:val="00587534"/>
    <w:rsid w:val="00587856"/>
    <w:rsid w:val="0059733F"/>
    <w:rsid w:val="00597BAF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0C65"/>
    <w:rsid w:val="005F4A33"/>
    <w:rsid w:val="005F4C08"/>
    <w:rsid w:val="005F64DD"/>
    <w:rsid w:val="005F7E40"/>
    <w:rsid w:val="00600B3A"/>
    <w:rsid w:val="00601F8E"/>
    <w:rsid w:val="00602D0D"/>
    <w:rsid w:val="00603D43"/>
    <w:rsid w:val="00604B8E"/>
    <w:rsid w:val="0061228A"/>
    <w:rsid w:val="00615FCE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1482"/>
    <w:rsid w:val="0065232B"/>
    <w:rsid w:val="00655241"/>
    <w:rsid w:val="00655FD5"/>
    <w:rsid w:val="00662503"/>
    <w:rsid w:val="006634DD"/>
    <w:rsid w:val="006711F7"/>
    <w:rsid w:val="00671C94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3008"/>
    <w:rsid w:val="00695432"/>
    <w:rsid w:val="00695648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411A"/>
    <w:rsid w:val="006B571C"/>
    <w:rsid w:val="006C00E7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661D"/>
    <w:rsid w:val="006D6BDC"/>
    <w:rsid w:val="006D7C87"/>
    <w:rsid w:val="006E002D"/>
    <w:rsid w:val="006E054A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0C5E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5408"/>
    <w:rsid w:val="007F68A7"/>
    <w:rsid w:val="008012A0"/>
    <w:rsid w:val="008020E7"/>
    <w:rsid w:val="00802EFD"/>
    <w:rsid w:val="00805B83"/>
    <w:rsid w:val="00810735"/>
    <w:rsid w:val="00812C05"/>
    <w:rsid w:val="008130FD"/>
    <w:rsid w:val="00813DE6"/>
    <w:rsid w:val="00814693"/>
    <w:rsid w:val="00822582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5656F"/>
    <w:rsid w:val="0086047E"/>
    <w:rsid w:val="008614E0"/>
    <w:rsid w:val="0086397D"/>
    <w:rsid w:val="00871148"/>
    <w:rsid w:val="008718DE"/>
    <w:rsid w:val="00877BB2"/>
    <w:rsid w:val="0088082F"/>
    <w:rsid w:val="0088089A"/>
    <w:rsid w:val="00880E7F"/>
    <w:rsid w:val="00880ED8"/>
    <w:rsid w:val="00882BBB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64A5"/>
    <w:rsid w:val="008C60D4"/>
    <w:rsid w:val="008D0B4F"/>
    <w:rsid w:val="008D38E9"/>
    <w:rsid w:val="008D40CB"/>
    <w:rsid w:val="008D426E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27EA0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CF6"/>
    <w:rsid w:val="00953511"/>
    <w:rsid w:val="00954123"/>
    <w:rsid w:val="00954580"/>
    <w:rsid w:val="009555E9"/>
    <w:rsid w:val="009567B2"/>
    <w:rsid w:val="00957D08"/>
    <w:rsid w:val="00972060"/>
    <w:rsid w:val="0097276B"/>
    <w:rsid w:val="00972D00"/>
    <w:rsid w:val="00972D9E"/>
    <w:rsid w:val="009739C1"/>
    <w:rsid w:val="00975C32"/>
    <w:rsid w:val="009834C0"/>
    <w:rsid w:val="0098401D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26E1"/>
    <w:rsid w:val="009E6A41"/>
    <w:rsid w:val="009E6CB7"/>
    <w:rsid w:val="009F2784"/>
    <w:rsid w:val="009F3C25"/>
    <w:rsid w:val="009F40E9"/>
    <w:rsid w:val="009F437F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56B9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407E"/>
    <w:rsid w:val="00A863A2"/>
    <w:rsid w:val="00A86912"/>
    <w:rsid w:val="00A87D9F"/>
    <w:rsid w:val="00A87F90"/>
    <w:rsid w:val="00A90ADF"/>
    <w:rsid w:val="00A915E6"/>
    <w:rsid w:val="00A96B1E"/>
    <w:rsid w:val="00A9776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3C9"/>
    <w:rsid w:val="00AF0694"/>
    <w:rsid w:val="00AF2CED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54EF7"/>
    <w:rsid w:val="00B625B8"/>
    <w:rsid w:val="00B6354B"/>
    <w:rsid w:val="00B667C2"/>
    <w:rsid w:val="00B66B7E"/>
    <w:rsid w:val="00B7389E"/>
    <w:rsid w:val="00B742CC"/>
    <w:rsid w:val="00B76722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2D02"/>
    <w:rsid w:val="00C25762"/>
    <w:rsid w:val="00C262CE"/>
    <w:rsid w:val="00C265C3"/>
    <w:rsid w:val="00C312F2"/>
    <w:rsid w:val="00C318EF"/>
    <w:rsid w:val="00C318FC"/>
    <w:rsid w:val="00C31C38"/>
    <w:rsid w:val="00C4232B"/>
    <w:rsid w:val="00C42F08"/>
    <w:rsid w:val="00C44ACE"/>
    <w:rsid w:val="00C46B64"/>
    <w:rsid w:val="00C479F9"/>
    <w:rsid w:val="00C5579C"/>
    <w:rsid w:val="00C57F30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51CE"/>
    <w:rsid w:val="00C86671"/>
    <w:rsid w:val="00C91069"/>
    <w:rsid w:val="00C9275A"/>
    <w:rsid w:val="00C948A6"/>
    <w:rsid w:val="00C964C4"/>
    <w:rsid w:val="00C9696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3E48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7A4"/>
    <w:rsid w:val="00D0024E"/>
    <w:rsid w:val="00D00870"/>
    <w:rsid w:val="00D0151D"/>
    <w:rsid w:val="00D02D0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1332"/>
    <w:rsid w:val="00D267A7"/>
    <w:rsid w:val="00D3021C"/>
    <w:rsid w:val="00D36265"/>
    <w:rsid w:val="00D368A3"/>
    <w:rsid w:val="00D3741D"/>
    <w:rsid w:val="00D37684"/>
    <w:rsid w:val="00D4064A"/>
    <w:rsid w:val="00D4305C"/>
    <w:rsid w:val="00D4378A"/>
    <w:rsid w:val="00D44B64"/>
    <w:rsid w:val="00D47A8E"/>
    <w:rsid w:val="00D5092B"/>
    <w:rsid w:val="00D51868"/>
    <w:rsid w:val="00D54080"/>
    <w:rsid w:val="00D548EE"/>
    <w:rsid w:val="00D5544E"/>
    <w:rsid w:val="00D56A03"/>
    <w:rsid w:val="00D6049C"/>
    <w:rsid w:val="00D60C94"/>
    <w:rsid w:val="00D6370B"/>
    <w:rsid w:val="00D659D1"/>
    <w:rsid w:val="00D66425"/>
    <w:rsid w:val="00D71646"/>
    <w:rsid w:val="00D74558"/>
    <w:rsid w:val="00D75ED5"/>
    <w:rsid w:val="00D771EB"/>
    <w:rsid w:val="00D77BD1"/>
    <w:rsid w:val="00D801B8"/>
    <w:rsid w:val="00D81513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5289"/>
    <w:rsid w:val="00DD64DF"/>
    <w:rsid w:val="00DD6D98"/>
    <w:rsid w:val="00DD7372"/>
    <w:rsid w:val="00DE0493"/>
    <w:rsid w:val="00DE1234"/>
    <w:rsid w:val="00DE461B"/>
    <w:rsid w:val="00DE50CC"/>
    <w:rsid w:val="00DE69BC"/>
    <w:rsid w:val="00DF03B8"/>
    <w:rsid w:val="00DF1B09"/>
    <w:rsid w:val="00DF232F"/>
    <w:rsid w:val="00DF2ABF"/>
    <w:rsid w:val="00DF2F58"/>
    <w:rsid w:val="00DF4C4D"/>
    <w:rsid w:val="00DF52C8"/>
    <w:rsid w:val="00DF5902"/>
    <w:rsid w:val="00DF6739"/>
    <w:rsid w:val="00DF6807"/>
    <w:rsid w:val="00DF71EA"/>
    <w:rsid w:val="00E02055"/>
    <w:rsid w:val="00E05AB9"/>
    <w:rsid w:val="00E1583F"/>
    <w:rsid w:val="00E1613F"/>
    <w:rsid w:val="00E16B72"/>
    <w:rsid w:val="00E17A72"/>
    <w:rsid w:val="00E2012F"/>
    <w:rsid w:val="00E23EE0"/>
    <w:rsid w:val="00E2427F"/>
    <w:rsid w:val="00E25655"/>
    <w:rsid w:val="00E25DF2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661B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7A4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0331"/>
    <w:rsid w:val="00F36F35"/>
    <w:rsid w:val="00F37A13"/>
    <w:rsid w:val="00F4428B"/>
    <w:rsid w:val="00F4434C"/>
    <w:rsid w:val="00F4593E"/>
    <w:rsid w:val="00F45EEB"/>
    <w:rsid w:val="00F462C8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03CB"/>
    <w:rsid w:val="00F91D34"/>
    <w:rsid w:val="00F927AC"/>
    <w:rsid w:val="00FA15E8"/>
    <w:rsid w:val="00FA29BE"/>
    <w:rsid w:val="00FA3B06"/>
    <w:rsid w:val="00FB1D6F"/>
    <w:rsid w:val="00FB3205"/>
    <w:rsid w:val="00FB33C5"/>
    <w:rsid w:val="00FB3E6E"/>
    <w:rsid w:val="00FB3F7F"/>
    <w:rsid w:val="00FB6330"/>
    <w:rsid w:val="00FC2DC1"/>
    <w:rsid w:val="00FC416F"/>
    <w:rsid w:val="00FD0032"/>
    <w:rsid w:val="00FD14D8"/>
    <w:rsid w:val="00FD2384"/>
    <w:rsid w:val="00FD7A13"/>
    <w:rsid w:val="00FE0973"/>
    <w:rsid w:val="00FE0FB4"/>
    <w:rsid w:val="00FE3D99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  <w:style w:type="character" w:styleId="ad">
    <w:name w:val="Hyperlink"/>
    <w:basedOn w:val="a0"/>
    <w:uiPriority w:val="99"/>
    <w:unhideWhenUsed/>
    <w:rsid w:val="007F540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F5408"/>
    <w:rPr>
      <w:color w:val="800080"/>
      <w:u w:val="single"/>
    </w:rPr>
  </w:style>
  <w:style w:type="paragraph" w:customStyle="1" w:styleId="xl94">
    <w:name w:val="xl9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4">
    <w:name w:val="xl11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5">
    <w:name w:val="xl11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0">
    <w:name w:val="xl120"/>
    <w:basedOn w:val="a"/>
    <w:rsid w:val="007F5408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F5408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30">
    <w:name w:val="xl13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F540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47">
    <w:name w:val="xl14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169A-6DCB-4FD0-A81B-267EB3E4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Windows User</cp:lastModifiedBy>
  <cp:revision>2</cp:revision>
  <cp:lastPrinted>2016-02-16T02:12:00Z</cp:lastPrinted>
  <dcterms:created xsi:type="dcterms:W3CDTF">2023-05-16T07:02:00Z</dcterms:created>
  <dcterms:modified xsi:type="dcterms:W3CDTF">2023-05-16T07:02:00Z</dcterms:modified>
</cp:coreProperties>
</file>