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3" w:rsidRDefault="001152D3" w:rsidP="0011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CD5">
        <w:rPr>
          <w:rFonts w:ascii="Times New Roman" w:eastAsia="Times New Roman" w:hAnsi="Times New Roman" w:cs="Times New Roman"/>
          <w:b/>
          <w:bCs/>
          <w:sz w:val="28"/>
          <w:szCs w:val="28"/>
        </w:rPr>
        <w:t>«ХАРАГУНСКОЕ»</w:t>
      </w: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CD5" w:rsidRPr="00F01CD5" w:rsidRDefault="00F01CD5" w:rsidP="00F0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1CD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F01CD5">
        <w:rPr>
          <w:rFonts w:ascii="Times New Roman" w:eastAsia="Calibri" w:hAnsi="Times New Roman" w:cs="Times New Roman"/>
          <w:sz w:val="28"/>
          <w:szCs w:val="28"/>
        </w:rPr>
        <w:t xml:space="preserve"> 2024года                                                          № </w:t>
      </w:r>
    </w:p>
    <w:p w:rsidR="00F01CD5" w:rsidRPr="00F01CD5" w:rsidRDefault="00F01CD5" w:rsidP="00F01C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AB35B9" w:rsidRPr="00F01CD5" w:rsidRDefault="00F01CD5" w:rsidP="00F0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AB35B9"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 ведения ре</w:t>
      </w:r>
      <w:r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естра муниципального имущества</w:t>
      </w:r>
      <w:r w:rsidR="00110A1D" w:rsidRPr="00110A1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110A1D" w:rsidRPr="00F01CD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сельского поселения «Харагунское»</w:t>
      </w:r>
    </w:p>
    <w:p w:rsidR="00AB35B9" w:rsidRPr="00F01CD5" w:rsidRDefault="00AB35B9" w:rsidP="0011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186367/entry/5105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 51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г. N 131-ФЗ "Об общих принципах организации местного самоуправления в Российской Федерации" и </w:t>
      </w:r>
      <w:hyperlink r:id="rId9" w:anchor="/document/12136348/entry/522916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5.2.29</w:t>
        </w:r>
        <w:r w:rsidRPr="00F01CD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 16</w:t>
        </w:r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пункта 5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Министерстве финансов Российской Федерации, утвержденного </w:t>
      </w:r>
      <w:hyperlink r:id="rId10" w:anchor="/document/12136348/entry/0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30 июня 2004 г. N 329,</w:t>
      </w:r>
      <w:r w:rsidR="00F01CD5" w:rsidRPr="00F01CD5">
        <w:rPr>
          <w:rFonts w:ascii="Times New Roman" w:hAnsi="Times New Roman" w:cs="Times New Roman"/>
          <w:sz w:val="28"/>
          <w:szCs w:val="28"/>
        </w:rPr>
        <w:t xml:space="preserve">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10 октября 2023 г. N 163н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proofErr w:type="gramEnd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органами местного самоуправления реестров муниципального имущества"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5B9" w:rsidRPr="00F01CD5" w:rsidRDefault="00AB35B9" w:rsidP="00110A1D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</w:t>
      </w:r>
      <w:r w:rsidR="00110A1D" w:rsidRP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 сельского поселения «Харагунское»</w:t>
      </w:r>
      <w:r w:rsid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1" w:anchor="/document/408123687/entry/1000" w:history="1">
        <w:r w:rsidRPr="00F01C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1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 w:rsidR="00F01CD5"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CD5" w:rsidRPr="00F01CD5" w:rsidRDefault="00F01CD5" w:rsidP="00F0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lang w:eastAsia="ru-RU"/>
        </w:rPr>
        <w:t xml:space="preserve">2. 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12" w:history="1">
        <w:r w:rsidRPr="00F01C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https://hiloksky.75.ru/</w:t>
        </w:r>
      </w:hyperlink>
      <w:r w:rsidRPr="00F01C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01CD5" w:rsidRPr="00F01CD5" w:rsidRDefault="00F01CD5" w:rsidP="00F01CD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после его обнародования.</w:t>
      </w: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F01CD5" w:rsidP="00F0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D5" w:rsidRP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D5">
        <w:rPr>
          <w:rFonts w:ascii="Times New Roman" w:eastAsia="Calibri" w:hAnsi="Times New Roman" w:cs="Times New Roman"/>
          <w:sz w:val="28"/>
          <w:szCs w:val="28"/>
        </w:rPr>
        <w:t>«Харагунское»                                                  Л.Е. Сизых</w:t>
      </w: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Pr="00F01CD5" w:rsidRDefault="00F01CD5" w:rsidP="00F01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D5" w:rsidRPr="001152D3" w:rsidRDefault="00AB35B9" w:rsidP="00F0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2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ПРИЛОЖЕНИЕ</w:t>
      </w:r>
      <w:r w:rsidRPr="001152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r w:rsidR="00F01CD5" w:rsidRPr="001152D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F01CD5" w:rsidRPr="001152D3" w:rsidRDefault="00F01CD5" w:rsidP="00F0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2D3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AB35B9" w:rsidRPr="001152D3" w:rsidRDefault="00F01CD5" w:rsidP="00F0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hAnsi="Times New Roman" w:cs="Times New Roman"/>
          <w:sz w:val="28"/>
          <w:szCs w:val="28"/>
        </w:rPr>
        <w:t xml:space="preserve"> </w:t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1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 г. № </w:t>
      </w:r>
    </w:p>
    <w:p w:rsidR="00F01CD5" w:rsidRPr="001152D3" w:rsidRDefault="00F01CD5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ведения </w:t>
      </w:r>
      <w:r w:rsidR="00940BC4"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муниципального имущества</w:t>
      </w:r>
      <w:r w:rsidR="00110A1D" w:rsidRPr="0011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A1D"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«Харагунское»  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ведения </w:t>
      </w:r>
      <w:bookmarkStart w:id="0" w:name="_GoBack"/>
      <w:bookmarkEnd w:id="0"/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1D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реестр), в том числе состав подлежащего учету муниципального имущества и порядок его учета, состав сведений,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отражению в реестре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предос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содержащейся в реестре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муниципальном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решениями представительного органа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ллекций, </w:t>
      </w:r>
      <w:r w:rsidR="00D6112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местного бюджет</w:t>
      </w:r>
      <w:r w:rsidR="00940BC4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 </w:t>
      </w:r>
      <w:hyperlink r:id="rId13" w:anchor="/multilink/408123687/paragraph/17/number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природных ресурсах, драгоценных металлах и драгоценных камнях, Музейном фонде Российской Федерации и музеях в Российской Федерации и </w:t>
      </w:r>
      <w:hyperlink r:id="rId14" w:anchor="/document/12112604/entry/2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муниципального имущества, сведения об объектах и (или) о количестве объектов которого составляют государственную тайну, осуществляется </w:t>
      </w:r>
      <w:r w:rsidR="00D6112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распоряжении которого находятся сведения, отнесенные в соответствии со </w:t>
      </w:r>
      <w:hyperlink r:id="rId15" w:anchor="/document/10102673/entry/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Российской Федерации от 21 июля 1993 г. N 5485-1 "О государственной тайне" к государственной тайне, самостоятельно.</w:t>
      </w:r>
    </w:p>
    <w:p w:rsidR="00AB35B9" w:rsidRPr="001152D3" w:rsidRDefault="00D6112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реестра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«Харагунское»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AB35B9" w:rsidRPr="001152D3" w:rsidRDefault="00D6112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выписки из реестра приведен в </w:t>
      </w:r>
      <w:hyperlink r:id="rId16" w:anchor="/document/408123687/entry/11000" w:history="1">
        <w:r w:rsidR="00AB35B9"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="00AB35B9"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Реестры ведутся на бумажных и (или) электронных носителях.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ведения реестра определяется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юридическому либо физическому лицу, которому муниципальное имущество принадлежит на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Неотъемлемой частью реестра являются: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реестре, хранятся в соответствии с </w:t>
      </w:r>
      <w:hyperlink r:id="rId17" w:anchor="/document/1213730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 октября 2004 г. N 125-ФЗ "Об архивном деле в Российской Федерации".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Состав сведений, подлежащих отражению в реестре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Реестр состоит из 3 разделов.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раздел 1 вносятся сведения о недвижимом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1.1 раздела 1 реестра вносятся сведения о земельных участках,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(местоположение) земельного участка (с указанием кода </w:t>
      </w:r>
      <w:hyperlink r:id="rId18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Общероссийского классификатора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территорий муниципальных образований (далее - ОКТМО);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(месту пребывания) (для физических лиц) (с указанием кода </w:t>
      </w:r>
      <w:hyperlink r:id="rId19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правообладателе);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произведенном улучшении земельного участка;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20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  <w:proofErr w:type="gramEnd"/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 </w:t>
      </w:r>
      <w:hyperlink r:id="rId21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подраздел 1.3 раздела 1 реестра вносятся сведения о помещениях, </w:t>
      </w:r>
      <w:proofErr w:type="spell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-местах и иных объектах, отнесенных законом к недвижимости,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 </w:t>
      </w:r>
      <w:hyperlink r:id="rId22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объекта учета;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(аэродром) базирования (с указанием кода </w:t>
      </w:r>
      <w:hyperlink r:id="rId23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2.1 раздела 2 реестра вносятся сведения об акциях,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4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5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26" w:anchor="/document/70465940/entry/0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объекта учета без указания стоимостной оценки не допускается.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учета муниципального имущества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 </w:t>
      </w:r>
      <w:hyperlink r:id="rId27" w:anchor="/document/10164072/entry/101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нем, направить заявление о внесении в реестр сведений о таком имуществе с одновременным направлением подтверждающих документов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28" w:anchor="/document/408123687/entry/1017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29" w:anchor="/document/408123687/entry/1018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не позднее дня, следующего за днем получения обращения об исключении из реестра засекреченных сведений, обязан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Сведения об объекте учета, заявления и документы, указанные в </w:t>
      </w:r>
      <w:hyperlink r:id="rId30" w:anchor="/document/408123687/entry/1015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15 - 18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 </w:t>
      </w:r>
      <w:hyperlink r:id="rId31" w:anchor="/document/12184522/entry/21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электронной </w:t>
        </w:r>
        <w:proofErr w:type="gramStart"/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  <w:proofErr w:type="gramEnd"/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уполномоченным должностным лицом правообладателя.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приостановлении процедуры учета в реестре объекта учета в следующих случаях: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уполномоченным органом решения, предусмотренного </w:t>
      </w:r>
      <w:hyperlink r:id="rId32" w:anchor="/document/408123687/entry/1223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 органом в порядке, установленном </w:t>
      </w:r>
      <w:hyperlink r:id="rId33" w:anchor="/document/408123687/entry/1015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15 - 23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1152D3" w:rsidRPr="001152D3" w:rsidRDefault="001152D3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B9" w:rsidRPr="001152D3" w:rsidRDefault="00AB35B9" w:rsidP="00AB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Предоставление информации из реестра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 </w:t>
      </w:r>
      <w:hyperlink r:id="rId34" w:tgtFrame="_blank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"Единый портал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(функций)", а также региональных порталов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35" w:anchor="/document/408123687/entry/1029" w:history="1">
        <w:r w:rsidRPr="00115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29</w:t>
        </w:r>
      </w:hyperlink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AB35B9" w:rsidRPr="001152D3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</w:t>
      </w:r>
      <w:r w:rsidRPr="0011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гражданским и административным делам, 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 им муниципального имущества.</w:t>
      </w: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Default="001152D3" w:rsidP="00AB35B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152D3" w:rsidRPr="001152D3" w:rsidRDefault="00AB35B9" w:rsidP="001152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 xml:space="preserve">Приложение </w:t>
      </w: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 </w:t>
      </w:r>
      <w:hyperlink r:id="rId36" w:anchor="/document/408123687/entry/1000" w:history="1">
        <w:r w:rsidRPr="001152D3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Порядку</w:t>
        </w:r>
      </w:hyperlink>
      <w:r w:rsidR="001152D3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ведения</w:t>
      </w:r>
      <w:r w:rsidR="001152D3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администрацией сельского</w:t>
      </w:r>
    </w:p>
    <w:p w:rsidR="00AB35B9" w:rsidRPr="001152D3" w:rsidRDefault="001152D3" w:rsidP="00115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поселения «Харагунское»</w:t>
      </w:r>
      <w:r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реестра</w:t>
      </w:r>
      <w:r w:rsidR="00AB35B9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</w:t>
      </w:r>
      <w:r w:rsidR="00AB35B9" w:rsidRPr="001152D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имущества</w:t>
      </w:r>
    </w:p>
    <w:p w:rsidR="00AB35B9" w:rsidRPr="00AB35B9" w:rsidRDefault="00AB35B9" w:rsidP="00AB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ВЫПИСКА N______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из реестра муниципального имущества об объекте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учета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на "____"______________20___г.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   местного    самоуправления, уполномоченный   на  ведение 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муниципального имущества_________________________________________________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уполномоченного на ведение реестра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муниципального имущества)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Заявитель________________________________________________________________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proofErr w:type="gramStart"/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(при наличии) физического лица)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1. Сведения об объекте муниципального имущества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и наименование объекта учета_________________________________________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581"/>
        <w:gridCol w:w="916"/>
        <w:gridCol w:w="2215"/>
        <w:gridCol w:w="2138"/>
      </w:tblGrid>
      <w:tr w:rsidR="00AB35B9" w:rsidRPr="00AB35B9" w:rsidTr="00AB35B9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5123"/>
      </w:tblGrid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Информация  об изменении   сведений   об объекте учета  муниципального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имущества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057"/>
        <w:gridCol w:w="3602"/>
      </w:tblGrid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5B9" w:rsidRPr="00AB35B9" w:rsidTr="00AB35B9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B35B9" w:rsidRPr="00AB35B9" w:rsidRDefault="00AB35B9" w:rsidP="00AB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5B9" w:rsidRPr="00AB35B9" w:rsidRDefault="00AB35B9" w:rsidP="00AB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ОТМЕТКА О ПОДТВЕРЖДЕНИИ СВЕДЕНИЙ, СОДЕРЖАЩИХСЯ В НАСТОЯЩЕЙ ВЫПИСКЕ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Ответственный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исполнитель:   _____________  _____________ ____________________________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(должность)     (подпись)      (расшифровка подписи)</w:t>
      </w:r>
    </w:p>
    <w:p w:rsidR="00AB35B9" w:rsidRPr="00AB35B9" w:rsidRDefault="00AB35B9" w:rsidP="00AB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"____"______________20__ г.</w:t>
      </w:r>
    </w:p>
    <w:p w:rsidR="007E5C36" w:rsidRDefault="007E5C36"/>
    <w:sectPr w:rsidR="007E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CA" w:rsidRDefault="001610CA" w:rsidP="001152D3">
      <w:pPr>
        <w:spacing w:after="0" w:line="240" w:lineRule="auto"/>
      </w:pPr>
      <w:r>
        <w:separator/>
      </w:r>
    </w:p>
  </w:endnote>
  <w:endnote w:type="continuationSeparator" w:id="0">
    <w:p w:rsidR="001610CA" w:rsidRDefault="001610CA" w:rsidP="001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CA" w:rsidRDefault="001610CA" w:rsidP="001152D3">
      <w:pPr>
        <w:spacing w:after="0" w:line="240" w:lineRule="auto"/>
      </w:pPr>
      <w:r>
        <w:separator/>
      </w:r>
    </w:p>
  </w:footnote>
  <w:footnote w:type="continuationSeparator" w:id="0">
    <w:p w:rsidR="001610CA" w:rsidRDefault="001610CA" w:rsidP="0011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9"/>
    <w:rsid w:val="00110A1D"/>
    <w:rsid w:val="001152D3"/>
    <w:rsid w:val="001610CA"/>
    <w:rsid w:val="007E5C36"/>
    <w:rsid w:val="00940BC4"/>
    <w:rsid w:val="00AB35B9"/>
    <w:rsid w:val="00D61129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D3"/>
  </w:style>
  <w:style w:type="paragraph" w:styleId="a6">
    <w:name w:val="footer"/>
    <w:basedOn w:val="a"/>
    <w:link w:val="a7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35B9"/>
    <w:rPr>
      <w:color w:val="0000FF"/>
      <w:u w:val="single"/>
    </w:rPr>
  </w:style>
  <w:style w:type="paragraph" w:customStyle="1" w:styleId="s16">
    <w:name w:val="s_16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35B9"/>
  </w:style>
  <w:style w:type="paragraph" w:styleId="HTML">
    <w:name w:val="HTML Preformatted"/>
    <w:basedOn w:val="a"/>
    <w:link w:val="HTML0"/>
    <w:uiPriority w:val="99"/>
    <w:semiHidden/>
    <w:unhideWhenUsed/>
    <w:rsid w:val="00AB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5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D3"/>
  </w:style>
  <w:style w:type="paragraph" w:styleId="a6">
    <w:name w:val="footer"/>
    <w:basedOn w:val="a"/>
    <w:link w:val="a7"/>
    <w:uiPriority w:val="99"/>
    <w:unhideWhenUsed/>
    <w:rsid w:val="001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80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.3.2/" TargetMode="External"/><Relationship Id="rId13" Type="http://schemas.openxmlformats.org/officeDocument/2006/relationships/hyperlink" Target="http://10.3.3.2/" TargetMode="External"/><Relationship Id="rId18" Type="http://schemas.openxmlformats.org/officeDocument/2006/relationships/hyperlink" Target="http://10.3.3.2/" TargetMode="External"/><Relationship Id="rId26" Type="http://schemas.openxmlformats.org/officeDocument/2006/relationships/hyperlink" Target="http://10.3.3.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.3.2/" TargetMode="External"/><Relationship Id="rId34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iloksky.75.ru/" TargetMode="External"/><Relationship Id="rId17" Type="http://schemas.openxmlformats.org/officeDocument/2006/relationships/hyperlink" Target="http://10.3.3.2/" TargetMode="External"/><Relationship Id="rId25" Type="http://schemas.openxmlformats.org/officeDocument/2006/relationships/hyperlink" Target="http://10.3.3.2/" TargetMode="External"/><Relationship Id="rId33" Type="http://schemas.openxmlformats.org/officeDocument/2006/relationships/hyperlink" Target="http://10.3.3.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.3.2/" TargetMode="External"/><Relationship Id="rId20" Type="http://schemas.openxmlformats.org/officeDocument/2006/relationships/hyperlink" Target="http://10.3.3.2/" TargetMode="External"/><Relationship Id="rId29" Type="http://schemas.openxmlformats.org/officeDocument/2006/relationships/hyperlink" Target="http://10.3.3.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3.3.2/" TargetMode="External"/><Relationship Id="rId24" Type="http://schemas.openxmlformats.org/officeDocument/2006/relationships/hyperlink" Target="http://10.3.3.2/" TargetMode="External"/><Relationship Id="rId32" Type="http://schemas.openxmlformats.org/officeDocument/2006/relationships/hyperlink" Target="http://10.3.3.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3.3.2/" TargetMode="External"/><Relationship Id="rId23" Type="http://schemas.openxmlformats.org/officeDocument/2006/relationships/hyperlink" Target="http://10.3.3.2/" TargetMode="External"/><Relationship Id="rId28" Type="http://schemas.openxmlformats.org/officeDocument/2006/relationships/hyperlink" Target="http://10.3.3.2/" TargetMode="External"/><Relationship Id="rId36" Type="http://schemas.openxmlformats.org/officeDocument/2006/relationships/hyperlink" Target="http://10.3.3.2/" TargetMode="External"/><Relationship Id="rId10" Type="http://schemas.openxmlformats.org/officeDocument/2006/relationships/hyperlink" Target="http://10.3.3.2/" TargetMode="External"/><Relationship Id="rId19" Type="http://schemas.openxmlformats.org/officeDocument/2006/relationships/hyperlink" Target="http://10.3.3.2/" TargetMode="External"/><Relationship Id="rId31" Type="http://schemas.openxmlformats.org/officeDocument/2006/relationships/hyperlink" Target="http://10.3.3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.3.2/" TargetMode="External"/><Relationship Id="rId14" Type="http://schemas.openxmlformats.org/officeDocument/2006/relationships/hyperlink" Target="http://10.3.3.2/" TargetMode="External"/><Relationship Id="rId22" Type="http://schemas.openxmlformats.org/officeDocument/2006/relationships/hyperlink" Target="http://10.3.3.2/" TargetMode="External"/><Relationship Id="rId27" Type="http://schemas.openxmlformats.org/officeDocument/2006/relationships/hyperlink" Target="http://10.3.3.2/" TargetMode="External"/><Relationship Id="rId30" Type="http://schemas.openxmlformats.org/officeDocument/2006/relationships/hyperlink" Target="http://10.3.3.2/" TargetMode="External"/><Relationship Id="rId35" Type="http://schemas.openxmlformats.org/officeDocument/2006/relationships/hyperlink" Target="http://10.3.3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Жанна Владимировна</dc:creator>
  <cp:lastModifiedBy>Пользователь Windows</cp:lastModifiedBy>
  <cp:revision>3</cp:revision>
  <dcterms:created xsi:type="dcterms:W3CDTF">2024-05-22T01:46:00Z</dcterms:created>
  <dcterms:modified xsi:type="dcterms:W3CDTF">2024-05-22T01:49:00Z</dcterms:modified>
</cp:coreProperties>
</file>