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D5" w:rsidRPr="00F01CD5" w:rsidRDefault="00F01CD5" w:rsidP="00F0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1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F01CD5" w:rsidRPr="00F01CD5" w:rsidRDefault="00F01CD5" w:rsidP="00F0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1CD5">
        <w:rPr>
          <w:rFonts w:ascii="Times New Roman" w:eastAsia="Times New Roman" w:hAnsi="Times New Roman" w:cs="Times New Roman"/>
          <w:b/>
          <w:bCs/>
          <w:sz w:val="28"/>
          <w:szCs w:val="28"/>
        </w:rPr>
        <w:t>«ХАРАГУНСКОЕ»</w:t>
      </w:r>
    </w:p>
    <w:p w:rsidR="00F01CD5" w:rsidRPr="00F01CD5" w:rsidRDefault="00F01CD5" w:rsidP="00F0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CD5" w:rsidRPr="00F01CD5" w:rsidRDefault="00F01CD5" w:rsidP="00F0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CD5" w:rsidRPr="00F01CD5" w:rsidRDefault="00F01CD5" w:rsidP="00F01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1CD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F01CD5" w:rsidRPr="00F01CD5" w:rsidRDefault="00F01CD5" w:rsidP="00F01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839" w:rsidRPr="00F01CD5" w:rsidRDefault="00331839" w:rsidP="00F01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F01CD5" w:rsidRPr="00F01CD5" w:rsidRDefault="00F01CD5" w:rsidP="003318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CD5"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 w:rsidR="00331839">
        <w:rPr>
          <w:rFonts w:ascii="Times New Roman" w:eastAsia="Calibri" w:hAnsi="Times New Roman" w:cs="Times New Roman"/>
          <w:sz w:val="28"/>
          <w:szCs w:val="28"/>
        </w:rPr>
        <w:t xml:space="preserve">13 июня </w:t>
      </w:r>
      <w:r w:rsidRPr="00F01CD5">
        <w:rPr>
          <w:rFonts w:ascii="Times New Roman" w:eastAsia="Calibri" w:hAnsi="Times New Roman" w:cs="Times New Roman"/>
          <w:sz w:val="28"/>
          <w:szCs w:val="28"/>
        </w:rPr>
        <w:t xml:space="preserve">2024года                                                   </w:t>
      </w:r>
      <w:r w:rsidR="0033183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01CD5">
        <w:rPr>
          <w:rFonts w:ascii="Times New Roman" w:eastAsia="Calibri" w:hAnsi="Times New Roman" w:cs="Times New Roman"/>
          <w:sz w:val="28"/>
          <w:szCs w:val="28"/>
        </w:rPr>
        <w:t xml:space="preserve">       № </w:t>
      </w:r>
      <w:r w:rsidR="00331839">
        <w:rPr>
          <w:rFonts w:ascii="Times New Roman" w:eastAsia="Calibri" w:hAnsi="Times New Roman" w:cs="Times New Roman"/>
          <w:sz w:val="28"/>
          <w:szCs w:val="28"/>
        </w:rPr>
        <w:t>87</w:t>
      </w:r>
    </w:p>
    <w:p w:rsidR="00F01CD5" w:rsidRPr="00F01CD5" w:rsidRDefault="00F01CD5" w:rsidP="00F01C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CD5">
        <w:rPr>
          <w:rFonts w:ascii="Times New Roman" w:eastAsia="Calibri" w:hAnsi="Times New Roman" w:cs="Times New Roman"/>
          <w:sz w:val="28"/>
          <w:szCs w:val="28"/>
        </w:rPr>
        <w:t>с. Харагун</w:t>
      </w:r>
    </w:p>
    <w:p w:rsidR="00AB35B9" w:rsidRPr="00F01CD5" w:rsidRDefault="00F01CD5" w:rsidP="00F01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F01C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="00AB35B9" w:rsidRPr="00F01CD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Об утверждении Порядка ведения ре</w:t>
      </w:r>
      <w:r w:rsidRPr="00F01CD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естра муниципального имущества</w:t>
      </w:r>
      <w:r w:rsidR="00110A1D" w:rsidRPr="00110A1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110A1D" w:rsidRPr="00F01CD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сельского поселения «Харагунское»</w:t>
      </w:r>
    </w:p>
    <w:p w:rsidR="00AB35B9" w:rsidRPr="00F01CD5" w:rsidRDefault="00AB35B9" w:rsidP="00115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8" w:anchor="/document/186367/entry/5105" w:history="1">
        <w:r w:rsidRPr="00F01C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 51</w:t>
        </w:r>
      </w:hyperlink>
      <w:r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6 октября 2003 г. N 131-ФЗ "Об общих принципах организации местного самоуправления в Российской Федерации" и </w:t>
      </w:r>
      <w:hyperlink r:id="rId9" w:anchor="/document/12136348/entry/522916" w:history="1">
        <w:r w:rsidRPr="00F01C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5.2.29</w:t>
        </w:r>
        <w:r w:rsidRPr="00F01CD5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 16</w:t>
        </w:r>
        <w:r w:rsidRPr="00F01C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пункта 5</w:t>
        </w:r>
      </w:hyperlink>
      <w:r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 о Министерстве финансов Российской Федерации, утвержденного </w:t>
      </w:r>
      <w:hyperlink r:id="rId10" w:anchor="/document/12136348/entry/0" w:history="1">
        <w:r w:rsidRPr="00F01C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30 июня 2004 г. N 329,</w:t>
      </w:r>
      <w:r w:rsidR="00F01CD5" w:rsidRPr="00F01CD5">
        <w:rPr>
          <w:rFonts w:ascii="Times New Roman" w:hAnsi="Times New Roman" w:cs="Times New Roman"/>
          <w:sz w:val="28"/>
          <w:szCs w:val="28"/>
        </w:rPr>
        <w:t xml:space="preserve"> </w:t>
      </w:r>
      <w:r w:rsidR="00F01CD5"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Минфина России от 10 октября 2023 г. N 163н "Об</w:t>
      </w:r>
      <w:proofErr w:type="gramEnd"/>
      <w:r w:rsidR="00F01CD5"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1CD5"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="00F01CD5"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ведения органами местного самоуправления реестров муниципального имущества"</w:t>
      </w:r>
      <w:r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CD5"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35B9" w:rsidRPr="00F01CD5" w:rsidRDefault="00AB35B9" w:rsidP="00110A1D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ведения </w:t>
      </w:r>
      <w:r w:rsidR="00110A1D" w:rsidRPr="00110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муниципального имущества сельского поселения «Харагунское»</w:t>
      </w:r>
      <w:r w:rsidR="0011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11" w:anchor="/document/408123687/entry/1000" w:history="1">
        <w:r w:rsidRPr="00F01C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11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настоящему </w:t>
      </w:r>
      <w:r w:rsidR="00F01CD5"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CD5" w:rsidRPr="00F01CD5" w:rsidRDefault="00F01CD5" w:rsidP="00F0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1CD5">
        <w:rPr>
          <w:rFonts w:ascii="Times New Roman" w:eastAsia="Times New Roman" w:hAnsi="Times New Roman" w:cs="Times New Roman"/>
          <w:sz w:val="28"/>
          <w:lang w:eastAsia="ru-RU"/>
        </w:rPr>
        <w:t xml:space="preserve">2. Настоящее постановление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12" w:history="1">
        <w:r w:rsidRPr="00F01C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https://hiloksky.75.ru/</w:t>
        </w:r>
      </w:hyperlink>
      <w:r w:rsidRPr="00F01CD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01CD5" w:rsidRPr="00F01CD5" w:rsidRDefault="00F01CD5" w:rsidP="00F01CD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 вступает в силу после его обнародования.</w:t>
      </w:r>
    </w:p>
    <w:p w:rsidR="00F01CD5" w:rsidRPr="00F01CD5" w:rsidRDefault="00F01CD5" w:rsidP="00F01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D5" w:rsidRPr="00F01CD5" w:rsidRDefault="00F01CD5" w:rsidP="00F01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D5" w:rsidRPr="00F01CD5" w:rsidRDefault="00F01CD5" w:rsidP="00F01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D5" w:rsidRPr="00F01CD5" w:rsidRDefault="00331839" w:rsidP="00F01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лавы</w:t>
      </w:r>
      <w:proofErr w:type="spellEnd"/>
      <w:r w:rsidR="00F01CD5" w:rsidRPr="00F01CD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F01CD5" w:rsidRDefault="00F01CD5" w:rsidP="00F01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CD5">
        <w:rPr>
          <w:rFonts w:ascii="Times New Roman" w:eastAsia="Calibri" w:hAnsi="Times New Roman" w:cs="Times New Roman"/>
          <w:sz w:val="28"/>
          <w:szCs w:val="28"/>
        </w:rPr>
        <w:t xml:space="preserve">«Харагунское»                                                 </w:t>
      </w:r>
      <w:r w:rsidR="00331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1C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839">
        <w:rPr>
          <w:rFonts w:ascii="Times New Roman" w:eastAsia="Calibri" w:hAnsi="Times New Roman" w:cs="Times New Roman"/>
          <w:sz w:val="28"/>
          <w:szCs w:val="28"/>
        </w:rPr>
        <w:t>А.П. Кривошеева</w:t>
      </w:r>
    </w:p>
    <w:p w:rsidR="00F01CD5" w:rsidRDefault="00F01CD5" w:rsidP="00F01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D5" w:rsidRDefault="00F01CD5" w:rsidP="00F01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D5" w:rsidRDefault="00F01CD5" w:rsidP="00F01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D5" w:rsidRDefault="00F01CD5" w:rsidP="00F01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D5" w:rsidRDefault="00F01CD5" w:rsidP="00F01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D5" w:rsidRDefault="00F01CD5" w:rsidP="00F01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D5" w:rsidRPr="00F01CD5" w:rsidRDefault="00F01CD5" w:rsidP="00F01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D5" w:rsidRPr="001152D3" w:rsidRDefault="00AB35B9" w:rsidP="00F01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2D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ПРИЛОЖЕНИЕ</w:t>
      </w:r>
      <w:r w:rsidRPr="001152D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r w:rsidRPr="00115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 </w:t>
      </w:r>
      <w:r w:rsidR="00F01CD5" w:rsidRPr="001152D3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F01CD5" w:rsidRPr="001152D3" w:rsidRDefault="00F01CD5" w:rsidP="00F01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2D3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AB35B9" w:rsidRPr="001152D3" w:rsidRDefault="00F01CD5" w:rsidP="00F01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hAnsi="Times New Roman" w:cs="Times New Roman"/>
          <w:sz w:val="28"/>
          <w:szCs w:val="28"/>
        </w:rPr>
        <w:t xml:space="preserve"> </w:t>
      </w:r>
      <w:r w:rsidRPr="00115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331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13.06.</w:t>
      </w:r>
      <w:r w:rsidRPr="00115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 г. №</w:t>
      </w:r>
      <w:r w:rsidR="00331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31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Pr="00115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01CD5" w:rsidRPr="001152D3" w:rsidRDefault="00F01CD5" w:rsidP="00AB3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35B9" w:rsidRPr="001152D3" w:rsidRDefault="00AB35B9" w:rsidP="00AB3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ведения </w:t>
      </w:r>
      <w:r w:rsidR="00940BC4" w:rsidRPr="0011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реестра муниципального имущества</w:t>
      </w:r>
      <w:r w:rsidR="00110A1D" w:rsidRPr="0011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0A1D" w:rsidRPr="0011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«Харагунское»  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правила ведения </w:t>
      </w:r>
      <w:r w:rsidR="00940BC4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муниципального имущества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A1D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«Харагунское» 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реестр), в том числе состав подлежащего учету муниципального имущества и порядок его учета, состав сведений,</w:t>
      </w:r>
      <w:r w:rsidR="00940BC4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отражению в реестре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предос</w:t>
      </w:r>
      <w:r w:rsidR="00940BC4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содержащейся в реестре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муниципальном имуществе.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муниципального имущества включает получение, экспертизу и хранение документов, содержащих сведения о муниципальном имуществе, и внесение указанных сведений в реестр в объеме, необходимом для осуществления полномочий по управлению и распоряжению муниципальным имуществом.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Объектом учета муниципального имущества (далее - объект учета) является следующее муниципальное имущество: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недвижимые вещи (земельный участок или прочно связанный с землей объект, перемещение которого без несоразмерного ущерба его назначению невозможно, в том числе здание, сооружение, объект незавершенного строительства, единый недвижимый комплекс, а также жилые и нежилые помещения, </w:t>
      </w:r>
      <w:proofErr w:type="spell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и подлежащие государственной регистрации воздушные и морские суда, суда внутреннего плавания либо иное имущество, отнесенное законом к недвижимым вещам);</w:t>
      </w:r>
      <w:proofErr w:type="gramEnd"/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движимые вещи (в том числе документарные ценные бумаги (акции) либо иное не относящееся к недвижимым вещам имущество, стоимость которого превышает размер, определ</w:t>
      </w:r>
      <w:r w:rsidR="00940BC4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решениями представительного органа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BC4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иное имущество (в том числе бездокументарные ценные бумаги), не относящееся к недвижимым и движимым вещам, стоимость которого превышает размер, определенный решениями </w:t>
      </w:r>
      <w:r w:rsidR="00940BC4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Учет находящихся в муниципальной собственности природных ресурсов (объектов), драгоценных металлов и драгоценных камней, музейных предметов и музейных ко</w:t>
      </w:r>
      <w:r w:rsidR="00940BC4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ллекций, </w:t>
      </w:r>
      <w:r w:rsidR="00D61129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средств местного бюджет</w:t>
      </w:r>
      <w:r w:rsidR="00940BC4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 </w:t>
      </w:r>
      <w:hyperlink r:id="rId13" w:anchor="/multilink/408123687/paragraph/17/number/0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природных ресурсах, драгоценных металлах и драгоценных камнях, Музейном фонде Российской Федерации и музеях в Российской Федерации и </w:t>
      </w:r>
      <w:hyperlink r:id="rId14" w:anchor="/document/12112604/entry/2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законодательством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Учет муниципального имущества, сведения об объектах и (или) о количестве объектов которого составляют государственную тайну, осуществляется </w:t>
      </w:r>
      <w:r w:rsidR="00D61129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распоряжении которого находятся сведения, отнесенные в соответствии со </w:t>
      </w:r>
      <w:hyperlink r:id="rId15" w:anchor="/document/10102673/entry/9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Российской Федерации от 21 июля 1993 г. N 5485-1 "О государственной тайне" к государственной тайне, самостоятельно.</w:t>
      </w:r>
    </w:p>
    <w:p w:rsidR="00AB35B9" w:rsidRPr="001152D3" w:rsidRDefault="00D6112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Ведение реестра</w:t>
      </w:r>
      <w:r w:rsidR="00AB35B9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«Харагунское»</w:t>
      </w:r>
      <w:r w:rsidR="00AB35B9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уполномоченный орган).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Учет муниципального имущества в реестре сопровождается присвоением реестрового номера муниципального имущества (далее - реестровый номер), структура и правила формирования такого номера определяются уполномоченным органом самостоятельно.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Документом, подтверждающим факт учета муниципального имущества в реестре, является выписка из реестра,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(далее - выписка из реестра).</w:t>
      </w:r>
    </w:p>
    <w:p w:rsidR="00AB35B9" w:rsidRPr="001152D3" w:rsidRDefault="00D6112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35B9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бразец выписки из реестра приведен в </w:t>
      </w:r>
      <w:hyperlink r:id="rId16" w:anchor="/document/408123687/entry/11000" w:history="1">
        <w:r w:rsidR="00AB35B9"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="00AB35B9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Реестры ведутся на бумажных и (или) электронных носителях.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ведения реестра определяется уполномоченным органом самостоятельно.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осуществляется путем внесения в соответствующие подразделы реестра сведений об объектах учета, собственником (владельцем) которых является муниципальное образование, и о лицах, обладающих правами на объекты учета и сведениями о них, и уточнения изменившихся сведений о муниципальном имуществе, принадлежащем на вещном праве органу местного самоуправления, муниципальному бюджетному учреждению, муниципальному казенному учреждению, муниципальному автономному учреждению, муниципальному унитарному предприятию, муниципальному казенному предприятию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иному юридическому либо физическому лицу, которому муниципальное имущество принадлежит на 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вещном праве или в силу закона (далее - правообладатель), или составляющем муниципальную казну муниципального образования,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(или) деятельности правообладателя.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Неотъемлемой частью реестра являются: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документы, подтверждающие сведения, включаемые в реестр (далее - подтверждающие документы);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иные документы, предусмотренные правовыми актами органов местного самоуправления.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реестр ведется на электронном носителе, реестр хранится и обрабатывается с соблюдением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реестре, хранятся в соответствии с </w:t>
      </w:r>
      <w:hyperlink r:id="rId17" w:anchor="/document/12137300/entry/0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22 октября 2004 г. N 125-ФЗ "Об архивном деле в Российской Федерации".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Состав сведений, подлежащих отражению в реестре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Реестр состоит из 3 разделов.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1 вносятся сведения о недвижимом имуществе, в раздел 2 вносятся сведения о движимом и об ином имуществе, в раздел 3 вносятся сведения о лицах, обладающих правами на имущество и сведениями о нем. Разделы состоят из подразделов, в каждый из которых вносятся сведения соответственно о видах недвижимого, движимого и иного имущества и лицах, обладающих правами на объекты учета и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сведениями о них. В разделы 1, 2, 3 сведения вносятся с приложением подтверждающих документов.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раздел 1 вносятся сведения о недвижимом имуществе.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 1.1 раздела 1 реестра вносятся сведения о земельных участках, в том числе: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земельного участка;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(местоположение) земельного участка (с указанием кода </w:t>
      </w:r>
      <w:hyperlink r:id="rId18" w:anchor="/document/70465940/entry/0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Общероссийского классификатора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территорий муниципальных образований (далее - ОКТМО);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 (с датой присвоения);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идентификационный номер налогоплательщика (далее - ИНН), код причины постановки на учет (далее - КПП) (для юридического лица), основной государственный регистрационный номер (далее - ОГРН) (для юридического лица), адрес в пределах места нахождения (для юридических лиц), адрес регистрации по месту жительства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(месту пребывания) (для физических лиц) (с указанием кода </w:t>
      </w:r>
      <w:hyperlink r:id="rId19" w:anchor="/document/70465940/entry/0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сведения о правообладателе);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земельный участок,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характеристиках земельного участка, в том числе: площадь, категория земель, вид разрешенного использования;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стоимости земельного участка;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произведенном улучшении земельного участка;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в отношении земельного участка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 </w:t>
      </w:r>
      <w:hyperlink r:id="rId20" w:anchor="/document/70465940/entry/0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  <w:proofErr w:type="gramEnd"/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сведения о лице, в пользу которого установлены ограничения (обременения);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подраздел 1.2 раздела 1 реестра вносятся сведения о зданиях, сооружениях, объектах незавершенного строительства, единых недвижимых комплексах и иных объектах, отнесенных законом к недвижимости, в том числе: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(местоположение) объекта учета (с указанием кода </w:t>
      </w:r>
      <w:hyperlink r:id="rId21" w:anchor="/document/70465940/entry/0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объекта учета (с датой присвоения);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земельном участке, на котором расположен объект учета (кадастровый номер, форма собственности, площадь);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характеристиках объекта учета, в том числе: тип объекта (жилое либо нежилое), площадь, протяженность, этажность (подземная этажность);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инвентарный номер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стоимости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объекте единого недвижимого комплекса, в том числе: сведения о зданиях, сооружениях, иных вещах, являющихся составляющими единого недвижимого комплекса, сведения о земельном участке, на котором расположено здание, сооружение;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подраздел 1.3 раздела 1 реестра вносятся сведения о помещениях, </w:t>
      </w:r>
      <w:proofErr w:type="spell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-местах и иных объектах, отнесенных законом к недвижимости, в том числе: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(местоположение) объекта учета (с указанием кода </w:t>
      </w:r>
      <w:hyperlink r:id="rId22" w:anchor="/document/70465940/entry/0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объекта учета (с датой присвоения);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здании, сооружении, в состав которого входит объект учета (кадастровый номер, форма собственности);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характеристиках объекта, в том числе: тип объекта (жилое либо нежилое), площадь, этажность (подземная этажность);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инвентарный номер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стоимости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 1.4 раздела 1 реестра вносятся сведения о воздушных и морских судах, судах внутреннего плавания, в том числе: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назначение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(место) регистрации и (или) место (аэродром) базирования (с указанием кода </w:t>
      </w:r>
      <w:hyperlink r:id="rId23" w:anchor="/document/70465940/entry/0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(с датой присвоения);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характеристиках судна, в том числе: год и место постройки судна, инвентарный номер, серийный (заводской) номер, идентификационный номер судна и место строительства (для строящихся судов);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стоимости судна;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произведенных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ремонте, модернизации судна;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в отношении судна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2 вносятся сведения о движимом и ином имуществе.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 2.1 раздела 2 реестра вносятся сведения об акциях, в том числе: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акционерном обществе (эмитенте),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 </w:t>
      </w:r>
      <w:hyperlink r:id="rId24" w:anchor="/document/70465940/entry/0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акциях, в том числе: количество акций, регистрационные номера выпусков, номинальная стоимость акций, вид акций (обыкновенные или привилегированные);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 2.2 раздела 2 вносятся сведения о долях (вкладах) в уставных (складочных) капиталах хозяйственных обществ и товариществ, в том числе: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хозяйственном обществе (товариществе),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 </w:t>
      </w:r>
      <w:hyperlink r:id="rId25" w:anchor="/document/70465940/entry/0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(вклад) в уставном (складочном) капитале хозяйственного общества, товарищества в процентах;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 2.3 раздела 2 вносятся сведения о движимом имуществе и ином имуществе, за исключением акций и долей (вкладов) в уставных (складочных) капиталах хозяйственных обществ и товариществ, в том числе: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движимого имущества (иного имущества);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объекте учета, в том числе: марка, модель, год выпуска, инвентарный номер;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правообладателе;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стоимости;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 2.4 раздела 2 вносятся сведения о долях в праве общей долевой собственности на объекты недвижимого и (или) движимого имущества, в том числе: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доли в праве общей долевой собственности на объекты недвижимого и (или) движимого имущества;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стоимости доли;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участниках общей долевой собственности, включая полное наименование юридических лиц, включающих их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 </w:t>
      </w:r>
      <w:hyperlink r:id="rId26" w:anchor="/document/70465940/entry/0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объектах недвижимого и (или) движимого имущества, находящихся в общей долевой собственности, в том числе наименование такого имущества и его кадастровый номер (при наличии);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об установленных в отношении доли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3 вносятся сведения о лицах, обладающих правами на муниципальное имущество и сведениями о нем, в том числе: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правообладателях;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реестровый номер объектов учета, принадлежащих на соответствующем вещном праве;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реестровый номер объектов учета, вещные права на которые ограничены (обременены) в пользу правообладателя;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Сведения об объекте учета, в том числе о лицах, обладающих правами на муниципальное имущество или сведениями о нем, не вносятся в разделы в случае их отсутствия, за исключением сведений о стоимости имущества, которые имеются у правообладателя.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объекта учета без указания стоимостной оценки не допускается.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учета муниципального имущества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Правообладатель для внесения в реестр сведений об имуществе, приобретенном им по договорам или на иных основаниях, поступающем в его хозяйственное ведение или оперативное управление в порядке, установленном </w:t>
      </w:r>
      <w:hyperlink r:id="rId27" w:anchor="/document/10164072/entry/1019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обязан в 7-дневный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документов.</w:t>
      </w:r>
      <w:proofErr w:type="gramEnd"/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муниципального имущества, принадлежащего правообладателю на праве хозяйственного ведения, оперативного управления, постоянного (бессрочного) пользования, пожизненного наследуемого владения или в силу закона и не учтенного в реестре, правообладатель обязан в 7-дневный срок со дня выявления такого имущества или получения документа, подтверждающего рассекречивание 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 о нем, направить заявление о внесении в реестр сведений о таком имуществе с одновременным направлением подтверждающих документов.</w:t>
      </w:r>
      <w:proofErr w:type="gramEnd"/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сведений об объекте учета или о лицах, обладающих правами на объект учета либо сведениями о нем, правообладатель для внесения в реестр новых сведений об объекте учета либо о соответствующем лице обязан в 7-дневный срок со дня получения документов, подтверждающих изменение сведений, или окончания срока представления бухгалтерской (финансовой) отчетности, установленного в соответствии с законодательством Российской Федерации (при изменении стоимости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учета), направить в уполномоченный орган заявление об изменении сведений об объекте учета с одновременным направлением документов, подтверждающих новые сведения об объекте учета или о соответствующем лице.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изменения касаются сведений о нескольких объектах учета, то правообладатель направляет заявление и документы, указанные в </w:t>
      </w:r>
      <w:hyperlink r:id="rId28" w:anchor="/document/408123687/entry/1017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пункта, в отношении каждого объекта учета.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 муниципальной собственности на имущество прекращено, лицо, которому оно принадлежало на вещном праве, для исключения из реестра сведений об имуществе обязано в 7-дневный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с одновременным направлением документов, подтверждающих прекращение права муниципальной собственности на имущество или государственную регистрацию прекращения указанного права.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прекращение права муниципальной собственности на имущество влечет исключение сведений в отношении других объектов учета, то лицо, которому оно принадлежало на вещном праве, направляет заявление и документы, указанные в </w:t>
      </w:r>
      <w:hyperlink r:id="rId29" w:anchor="/document/408123687/entry/1018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пункта, в отношении каждого объекта учета.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засекречивания сведений об учтенном в реестре объекте учета и (или) о лицах, обладающих правами на муниципальное имущество и сведениями о нем, правообладатель обязан не позднее дня, следующего за днем получения документа, подтверждающего их засекречивание, направить в уполномоченный орган обращение об исключении из реестра засекреченных сведений с указанием в нем реестрового номера объекта учета, наименований засекреченных в них сведений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реквизитов документов, подтверждающих засекречивание этих сведений.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не позднее дня, следующего за днем получения обращения об исключении из реестра засекреченных сведений, обязан 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исключить из реестра все засекреченные сведения об учтенном в нем муниципальном имуществе, а также сведения о лицах, обладающих правами на это имущество и (или) сведениями о нем, и документы, подтверждающие эти сведения.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Сведения об объекте учета, заявления и документы, указанные в </w:t>
      </w:r>
      <w:hyperlink r:id="rId30" w:anchor="/document/408123687/entry/1015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15 - 18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направляются в уполномоченный орган правообладателем или лицом, которому имущество принадлежало на вещном праве, на бумажном носителе или в форме электронного документа, подписанного с использованием усиленной квалифицированной </w:t>
      </w:r>
      <w:hyperlink r:id="rId31" w:anchor="/document/12184522/entry/21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электронной </w:t>
        </w:r>
        <w:proofErr w:type="gramStart"/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подписи</w:t>
        </w:r>
        <w:proofErr w:type="gramEnd"/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уполномоченным должностным лицом правообладателя.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 случае ликвидации (упразднения) являющегося правообладателем юридического лица формирование и подписание заявления об изменениях сведений и (или) заявления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исключении из реестра, а также исключение всех сведений об объекте учета из реестра осуществляются уполномоченным органом в 7-дневный срок после получения выписки из Единого государственного реестра юридических лиц (далее - ЕГРЮЛ) и ликвидационного баланса. Ликвидационный баланс не требуется, если юридическое лицо было признано судом несостоятельным (банкротом)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22. Уполномоченный орган в 14-дневный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учете в реестре объекта учета,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реестра, если установлены подлинность и полнота документов правообладателя, а также достоверность и полнота содержащихся в них сведений;</w:t>
      </w:r>
      <w:proofErr w:type="gramEnd"/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отказе в учете в реестре объекта учета, если установлено, что представленное к учету имущество, в том числе имущество, право муниципальной собственности на которое не зарегистрировано или не подлежит регистрации, не находится в муниципальной собственности;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приостановлении процедуры учета в реестре объекта учета в следующих случаях: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неполнота и (или) недостоверность содержащихся в документах правообладателя сведений;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представленные правообладателем, не соответствуют требованиям, установленным настоящим Порядком, законодательством Российской Федерации и правовыми актами органов местного самоуправления.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уполномоченным органом решения, предусмотренного </w:t>
      </w:r>
      <w:hyperlink r:id="rId32" w:anchor="/document/408123687/entry/1223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"в"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пункта, уполномоченный орган направляет правообладателю требование в 7-дневный срок со дня его получения направить сведения и документы, подтверждающие недостающие сведения о муниципальном имуществе.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имущества, сведения о котором не учтены в реестре и (или) новые сведения о котором не представлены для внесения изменений в реестр, и установлено, что это имущество находится в муниципальной собственности, либо выявлено имущество, не находящееся в муниципальной собственности, которое учтено в реестре, уполномоченный орган в 7-дневный срок:</w:t>
      </w:r>
      <w:proofErr w:type="gramEnd"/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вносит в реестр сведения об объекте учета, в том числе о правообладателях (при наличии);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направляет правообладателю (при наличии сведений о нем) требование в 7-дневный срок со дня его получения направить сведения об объекте учета и (или) заявление об изменении сведений либо об их исключении из реестра в уполномоченный орган (в том числе с дополнительными документами, подтверждающими недостающие в реестре сведения).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сведений в реестр о возникновении права муниципальной собственности на имущество и о принятии его в муниципальную казну, а также внесение изменений в сведения о таком имуществе и (или) о лицах, обладающих сведениями о нем, в том числе о прекращении права хозяйственного ведения, оперативного управления, постоянного (бессрочного) пользования, пожизненного наследуемого владения или в силу закона на объект учета, принадлежавший правообладателю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уполномоченным органом в порядке, установленном </w:t>
      </w:r>
      <w:hyperlink r:id="rId33" w:anchor="/document/408123687/entry/1015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15 - 23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Порядок принятия решений, предусмотренных настоящим Порядком, и сроки рассмотрения документов, если иное не предусмотрено настоящим Порядком, определяются уполномоченным органом самостоятельно.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Заявления, обращение и требования, предусмотренные настоящим Порядком, направляются в порядке и по формам, определяемым уполномоченным органом самостоятельно.</w:t>
      </w:r>
    </w:p>
    <w:p w:rsidR="001152D3" w:rsidRPr="001152D3" w:rsidRDefault="001152D3" w:rsidP="00AB3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B9" w:rsidRPr="001152D3" w:rsidRDefault="00AB35B9" w:rsidP="00AB3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IV. Предоставление информации из реестра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реестра,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виде, в том числе посредством электронной почты, с использованием федеральной государственной информационной системы </w:t>
      </w:r>
      <w:hyperlink r:id="rId34" w:tgtFrame="_blank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"Единый портал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и муниципальных услуг (функций)", а также региональных порталов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услуг, если иное не установлено федеральными законами, указами Президента Российской Федерации и постановлениями Правительства Российской Федерации, законами и иными нормативными актами субъекта Российской Федерации и правовыми актами органов местного самоуправления в течение 10 рабочих дней со дня поступления запроса.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вправе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документы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настоящем пункте, безвозмездно или за плату, в случае если размер указанной платы определен решением представительного органа соответствующих муниципальных образований, за исключением случаев предоставления информации безвозмездно в порядке, предусмотренном </w:t>
      </w:r>
      <w:hyperlink r:id="rId35" w:anchor="/document/408123687/entry/1029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29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28. 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определяются уполномоченным органом самостоятельно.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реестра,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Федерации, Генеральной прокуратуре Российской Федерации, Председателю Счетной палаты Российской Федерации, его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заместителям, аудиторам Счетной палаты Российской Федерации и государственным внебюджетным фондам, правоохранительным органам, судам, судебным приставам-исполнителям по находящимся в производстве уголовным, 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гражданским и административным делам, а также иным определенным федеральными законами и правовыми актами органов местного самоуправления органам, организациям и правообладателям в отношении принадлежащего им муниципального имущества.</w:t>
      </w: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Pr="001152D3" w:rsidRDefault="00AB35B9" w:rsidP="001152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 xml:space="preserve">Приложение </w:t>
      </w:r>
      <w:r w:rsidRPr="001152D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 </w:t>
      </w:r>
      <w:hyperlink r:id="rId36" w:anchor="/document/408123687/entry/1000" w:history="1">
        <w:r w:rsidRPr="001152D3">
          <w:rPr>
            <w:rFonts w:ascii="Times New Roman" w:eastAsia="Times New Roman" w:hAnsi="Times New Roman" w:cs="Times New Roman"/>
            <w:bCs/>
            <w:sz w:val="23"/>
            <w:szCs w:val="23"/>
            <w:lang w:eastAsia="ru-RU"/>
          </w:rPr>
          <w:t>Порядку</w:t>
        </w:r>
      </w:hyperlink>
      <w:r w:rsidR="001152D3" w:rsidRPr="001152D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 ведения</w:t>
      </w:r>
      <w:r w:rsidR="001152D3" w:rsidRPr="001152D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администрацией сельского</w:t>
      </w:r>
    </w:p>
    <w:p w:rsidR="00AB35B9" w:rsidRPr="001152D3" w:rsidRDefault="001152D3" w:rsidP="001152D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2D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поселения «Харагунское»</w:t>
      </w:r>
      <w:r w:rsidRPr="001152D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реестра</w:t>
      </w:r>
      <w:r w:rsidR="00AB35B9" w:rsidRPr="001152D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муниципального</w:t>
      </w:r>
      <w:r w:rsidR="00AB35B9" w:rsidRPr="001152D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имущества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Рекомендуемый образец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      ВЫПИСКА N______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из реестра муниципального имущества об объекте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учета муниципального имущества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на "____"______________20___г.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   местного    самоуправления, уполномоченный   на  ведение  реестра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муниципального имущества_________________________________________________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</w:t>
      </w:r>
      <w:proofErr w:type="gramStart"/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органа местного самоуправления,</w:t>
      </w:r>
      <w:proofErr w:type="gramEnd"/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уполномоченного на ведение реестра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муниципального имущества)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Заявитель________________________________________________________________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</w:t>
      </w:r>
      <w:proofErr w:type="gramStart"/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юридического лица, фамилия, имя, отчество</w:t>
      </w:r>
      <w:proofErr w:type="gramEnd"/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(при наличии) физического лица)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1. Сведения об объекте муниципального имущества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Вид и наименование объекта учета_________________________________________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2581"/>
        <w:gridCol w:w="916"/>
        <w:gridCol w:w="2215"/>
        <w:gridCol w:w="2138"/>
      </w:tblGrid>
      <w:tr w:rsidR="00AB35B9" w:rsidRPr="00AB35B9" w:rsidTr="00AB35B9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7"/>
        <w:gridCol w:w="5123"/>
      </w:tblGrid>
      <w:tr w:rsidR="00AB35B9" w:rsidRPr="00AB35B9" w:rsidTr="00AB35B9">
        <w:tc>
          <w:tcPr>
            <w:tcW w:w="4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сведений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сведений</w:t>
            </w:r>
          </w:p>
        </w:tc>
      </w:tr>
      <w:tr w:rsidR="00AB35B9" w:rsidRPr="00AB35B9" w:rsidTr="00AB35B9">
        <w:tc>
          <w:tcPr>
            <w:tcW w:w="4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35B9" w:rsidRPr="00AB35B9" w:rsidTr="00AB35B9">
        <w:tc>
          <w:tcPr>
            <w:tcW w:w="4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5B9" w:rsidRPr="00AB35B9" w:rsidTr="00AB35B9">
        <w:tc>
          <w:tcPr>
            <w:tcW w:w="4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2. Информация  об изменении   сведений   об объекте учета  муниципального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имущества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3057"/>
        <w:gridCol w:w="3602"/>
      </w:tblGrid>
      <w:tr w:rsidR="00AB35B9" w:rsidRPr="00AB35B9" w:rsidTr="00AB35B9"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изменения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сведений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</w:tr>
      <w:tr w:rsidR="00AB35B9" w:rsidRPr="00AB35B9" w:rsidTr="00AB35B9"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35B9" w:rsidRPr="00AB35B9" w:rsidTr="00AB35B9"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5B9" w:rsidRPr="00AB35B9" w:rsidTr="00AB35B9"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ОТМЕТКА О ПОДТВЕРЖДЕНИИ СВЕДЕНИЙ, СОДЕРЖАЩИХСЯ В НАСТОЯЩЕЙ ВЫПИСКЕ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Ответственный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исполнитель:   _____________  _____________ ____________________________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(должность)     (подпись)      (расшифровка подписи)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"____"______________20__ г.</w:t>
      </w:r>
    </w:p>
    <w:p w:rsidR="007E5C36" w:rsidRDefault="007E5C36"/>
    <w:sectPr w:rsidR="007E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89" w:rsidRDefault="009D2A89" w:rsidP="001152D3">
      <w:pPr>
        <w:spacing w:after="0" w:line="240" w:lineRule="auto"/>
      </w:pPr>
      <w:r>
        <w:separator/>
      </w:r>
    </w:p>
  </w:endnote>
  <w:endnote w:type="continuationSeparator" w:id="0">
    <w:p w:rsidR="009D2A89" w:rsidRDefault="009D2A89" w:rsidP="0011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89" w:rsidRDefault="009D2A89" w:rsidP="001152D3">
      <w:pPr>
        <w:spacing w:after="0" w:line="240" w:lineRule="auto"/>
      </w:pPr>
      <w:r>
        <w:separator/>
      </w:r>
    </w:p>
  </w:footnote>
  <w:footnote w:type="continuationSeparator" w:id="0">
    <w:p w:rsidR="009D2A89" w:rsidRDefault="009D2A89" w:rsidP="0011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1D97"/>
    <w:multiLevelType w:val="hybridMultilevel"/>
    <w:tmpl w:val="0C927E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B9"/>
    <w:rsid w:val="00110A1D"/>
    <w:rsid w:val="001152D3"/>
    <w:rsid w:val="001610CA"/>
    <w:rsid w:val="00331839"/>
    <w:rsid w:val="007E5C36"/>
    <w:rsid w:val="00940BC4"/>
    <w:rsid w:val="009D2A89"/>
    <w:rsid w:val="00AB35B9"/>
    <w:rsid w:val="00AE5A6F"/>
    <w:rsid w:val="00D61129"/>
    <w:rsid w:val="00F0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35B9"/>
    <w:rPr>
      <w:color w:val="0000FF"/>
      <w:u w:val="single"/>
    </w:rPr>
  </w:style>
  <w:style w:type="paragraph" w:customStyle="1" w:styleId="s16">
    <w:name w:val="s_16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B35B9"/>
  </w:style>
  <w:style w:type="paragraph" w:styleId="HTML">
    <w:name w:val="HTML Preformatted"/>
    <w:basedOn w:val="a"/>
    <w:link w:val="HTML0"/>
    <w:uiPriority w:val="99"/>
    <w:semiHidden/>
    <w:unhideWhenUsed/>
    <w:rsid w:val="00AB3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35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5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2D3"/>
  </w:style>
  <w:style w:type="paragraph" w:styleId="a6">
    <w:name w:val="footer"/>
    <w:basedOn w:val="a"/>
    <w:link w:val="a7"/>
    <w:uiPriority w:val="99"/>
    <w:unhideWhenUsed/>
    <w:rsid w:val="00115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35B9"/>
    <w:rPr>
      <w:color w:val="0000FF"/>
      <w:u w:val="single"/>
    </w:rPr>
  </w:style>
  <w:style w:type="paragraph" w:customStyle="1" w:styleId="s16">
    <w:name w:val="s_16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B35B9"/>
  </w:style>
  <w:style w:type="paragraph" w:styleId="HTML">
    <w:name w:val="HTML Preformatted"/>
    <w:basedOn w:val="a"/>
    <w:link w:val="HTML0"/>
    <w:uiPriority w:val="99"/>
    <w:semiHidden/>
    <w:unhideWhenUsed/>
    <w:rsid w:val="00AB3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35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5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2D3"/>
  </w:style>
  <w:style w:type="paragraph" w:styleId="a6">
    <w:name w:val="footer"/>
    <w:basedOn w:val="a"/>
    <w:link w:val="a7"/>
    <w:uiPriority w:val="99"/>
    <w:unhideWhenUsed/>
    <w:rsid w:val="00115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2809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4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2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.3.2/" TargetMode="External"/><Relationship Id="rId13" Type="http://schemas.openxmlformats.org/officeDocument/2006/relationships/hyperlink" Target="http://10.3.3.2/" TargetMode="External"/><Relationship Id="rId18" Type="http://schemas.openxmlformats.org/officeDocument/2006/relationships/hyperlink" Target="http://10.3.3.2/" TargetMode="External"/><Relationship Id="rId26" Type="http://schemas.openxmlformats.org/officeDocument/2006/relationships/hyperlink" Target="http://10.3.3.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0.3.3.2/" TargetMode="External"/><Relationship Id="rId34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iloksky.75.ru/" TargetMode="External"/><Relationship Id="rId17" Type="http://schemas.openxmlformats.org/officeDocument/2006/relationships/hyperlink" Target="http://10.3.3.2/" TargetMode="External"/><Relationship Id="rId25" Type="http://schemas.openxmlformats.org/officeDocument/2006/relationships/hyperlink" Target="http://10.3.3.2/" TargetMode="External"/><Relationship Id="rId33" Type="http://schemas.openxmlformats.org/officeDocument/2006/relationships/hyperlink" Target="http://10.3.3.2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0.3.3.2/" TargetMode="External"/><Relationship Id="rId20" Type="http://schemas.openxmlformats.org/officeDocument/2006/relationships/hyperlink" Target="http://10.3.3.2/" TargetMode="External"/><Relationship Id="rId29" Type="http://schemas.openxmlformats.org/officeDocument/2006/relationships/hyperlink" Target="http://10.3.3.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0.3.3.2/" TargetMode="External"/><Relationship Id="rId24" Type="http://schemas.openxmlformats.org/officeDocument/2006/relationships/hyperlink" Target="http://10.3.3.2/" TargetMode="External"/><Relationship Id="rId32" Type="http://schemas.openxmlformats.org/officeDocument/2006/relationships/hyperlink" Target="http://10.3.3.2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10.3.3.2/" TargetMode="External"/><Relationship Id="rId23" Type="http://schemas.openxmlformats.org/officeDocument/2006/relationships/hyperlink" Target="http://10.3.3.2/" TargetMode="External"/><Relationship Id="rId28" Type="http://schemas.openxmlformats.org/officeDocument/2006/relationships/hyperlink" Target="http://10.3.3.2/" TargetMode="External"/><Relationship Id="rId36" Type="http://schemas.openxmlformats.org/officeDocument/2006/relationships/hyperlink" Target="http://10.3.3.2/" TargetMode="External"/><Relationship Id="rId10" Type="http://schemas.openxmlformats.org/officeDocument/2006/relationships/hyperlink" Target="http://10.3.3.2/" TargetMode="External"/><Relationship Id="rId19" Type="http://schemas.openxmlformats.org/officeDocument/2006/relationships/hyperlink" Target="http://10.3.3.2/" TargetMode="External"/><Relationship Id="rId31" Type="http://schemas.openxmlformats.org/officeDocument/2006/relationships/hyperlink" Target="http://10.3.3.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3.3.2/" TargetMode="External"/><Relationship Id="rId14" Type="http://schemas.openxmlformats.org/officeDocument/2006/relationships/hyperlink" Target="http://10.3.3.2/" TargetMode="External"/><Relationship Id="rId22" Type="http://schemas.openxmlformats.org/officeDocument/2006/relationships/hyperlink" Target="http://10.3.3.2/" TargetMode="External"/><Relationship Id="rId27" Type="http://schemas.openxmlformats.org/officeDocument/2006/relationships/hyperlink" Target="http://10.3.3.2/" TargetMode="External"/><Relationship Id="rId30" Type="http://schemas.openxmlformats.org/officeDocument/2006/relationships/hyperlink" Target="http://10.3.3.2/" TargetMode="External"/><Relationship Id="rId35" Type="http://schemas.openxmlformats.org/officeDocument/2006/relationships/hyperlink" Target="http://10.3.3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4937</Words>
  <Characters>28145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Пьянникова Жанна Владимировна</dc:creator>
  <cp:lastModifiedBy>Пользователь Windows</cp:lastModifiedBy>
  <cp:revision>2</cp:revision>
  <cp:lastPrinted>2024-06-13T02:19:00Z</cp:lastPrinted>
  <dcterms:created xsi:type="dcterms:W3CDTF">2024-06-13T02:51:00Z</dcterms:created>
  <dcterms:modified xsi:type="dcterms:W3CDTF">2024-06-13T02:51:00Z</dcterms:modified>
</cp:coreProperties>
</file>