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7E" w:rsidRPr="0062231A" w:rsidRDefault="009A087E" w:rsidP="009A0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3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«Закультинское»</w:t>
      </w:r>
    </w:p>
    <w:p w:rsidR="009A087E" w:rsidRDefault="009A087E" w:rsidP="009A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87E" w:rsidRPr="009A087E" w:rsidRDefault="009A087E" w:rsidP="009A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87E" w:rsidRDefault="009A087E" w:rsidP="009A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622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087E" w:rsidRDefault="009A087E" w:rsidP="009A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87E" w:rsidRDefault="0062231A" w:rsidP="009A0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28.11.</w:t>
      </w:r>
      <w:r w:rsidR="00BC5B14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  <w:r w:rsid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№18</w:t>
      </w:r>
    </w:p>
    <w:p w:rsidR="009A087E" w:rsidRDefault="009A087E" w:rsidP="009A0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BC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Закульта</w:t>
      </w:r>
    </w:p>
    <w:p w:rsidR="009A087E" w:rsidRDefault="009A087E" w:rsidP="009A0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Pr="009A087E" w:rsidRDefault="009A087E" w:rsidP="009A0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Pr="0062231A" w:rsidRDefault="009A087E" w:rsidP="009A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формировании среднесрочного финансового плана </w:t>
      </w:r>
    </w:p>
    <w:p w:rsidR="009A087E" w:rsidRPr="0062231A" w:rsidRDefault="009A087E" w:rsidP="009A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«Закультинское»</w:t>
      </w:r>
    </w:p>
    <w:p w:rsidR="009A087E" w:rsidRPr="009A087E" w:rsidRDefault="009A087E" w:rsidP="009A0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Pr="009A087E" w:rsidRDefault="009A087E" w:rsidP="009A0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Pr="009A087E" w:rsidRDefault="009A087E" w:rsidP="009A0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174 Бюджетного кодекса Российской Федерации, в целях обеспечения своевременного и качественного составления проекта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«Закультинское» 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среднесрочного финансового плана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«Закультинское»,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«Закультинское» </w:t>
      </w:r>
      <w:r w:rsidRPr="009A0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Pr="009A087E" w:rsidRDefault="009A087E" w:rsidP="009A087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формирования среднесрочного финансового плана сельского поселения «Закультинское».</w:t>
      </w:r>
    </w:p>
    <w:p w:rsidR="009A087E" w:rsidRPr="009A087E" w:rsidRDefault="009A087E" w:rsidP="009A087E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Pr="009A087E" w:rsidRDefault="009A087E" w:rsidP="009A087E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Pr="009A087E" w:rsidRDefault="009A087E" w:rsidP="009A087E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Pr="009A087E" w:rsidRDefault="009A087E" w:rsidP="009A0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87E" w:rsidRPr="009A087E" w:rsidRDefault="009A087E" w:rsidP="009A0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«Закультинское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="00A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Цымпилов</w:t>
      </w:r>
    </w:p>
    <w:p w:rsidR="009A087E" w:rsidRPr="009A087E" w:rsidRDefault="009A087E" w:rsidP="009A087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Pr="009A087E" w:rsidRDefault="009A087E" w:rsidP="009A087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Pr="009A087E" w:rsidRDefault="009A087E" w:rsidP="009A087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Pr="009A087E" w:rsidRDefault="009A087E" w:rsidP="009A087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Pr="009A087E" w:rsidRDefault="009A087E" w:rsidP="009A087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Pr="009A087E" w:rsidRDefault="009A087E" w:rsidP="009A087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Pr="009A087E" w:rsidRDefault="009A087E" w:rsidP="009A087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Pr="009A087E" w:rsidRDefault="009A087E" w:rsidP="009A087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Pr="009A087E" w:rsidRDefault="009A087E" w:rsidP="009A087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Pr="009A087E" w:rsidRDefault="009A087E" w:rsidP="009A087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Pr="009A087E" w:rsidRDefault="009A087E" w:rsidP="009A087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Pr="009A087E" w:rsidRDefault="009A087E" w:rsidP="009A087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Default="009A087E" w:rsidP="009A087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Default="009A087E" w:rsidP="009A087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Default="009A087E" w:rsidP="009A087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Default="009A087E" w:rsidP="009A087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Default="009A087E" w:rsidP="009A087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Default="009A087E" w:rsidP="009A087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Default="009A087E" w:rsidP="009A087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Pr="009A087E" w:rsidRDefault="009A087E" w:rsidP="009A087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9A087E" w:rsidRPr="009A087E" w:rsidRDefault="009A087E" w:rsidP="009A087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2259D" w:rsidRDefault="0082259D" w:rsidP="009A087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«Закультинское»</w:t>
      </w:r>
    </w:p>
    <w:p w:rsidR="009A087E" w:rsidRPr="009A087E" w:rsidRDefault="0062231A" w:rsidP="009A087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28.11.2024 г. №18</w:t>
      </w:r>
      <w:bookmarkStart w:id="0" w:name="_GoBack"/>
      <w:bookmarkEnd w:id="0"/>
    </w:p>
    <w:p w:rsidR="009A087E" w:rsidRPr="009A087E" w:rsidRDefault="009A087E" w:rsidP="009A087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Pr="009A087E" w:rsidRDefault="009A087E" w:rsidP="009A08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Pr="009A087E" w:rsidRDefault="009A087E" w:rsidP="009A08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9A087E" w:rsidRPr="009A087E" w:rsidRDefault="009A087E" w:rsidP="009A08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СРЕДНЕСРОЧНОГО ФИНАНСОВОГО ПЛАНА </w:t>
      </w:r>
    </w:p>
    <w:p w:rsidR="009A087E" w:rsidRPr="009A087E" w:rsidRDefault="0082259D" w:rsidP="009A087E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«ЗАКУЛЬТИНСКОЕ»</w:t>
      </w:r>
    </w:p>
    <w:p w:rsidR="009A087E" w:rsidRPr="009A087E" w:rsidRDefault="009A087E" w:rsidP="009A087E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 случае составления и утверждения однолетнего проекта бюджета </w:t>
      </w:r>
      <w:r w:rsidR="00822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«Закультинское»</w:t>
      </w:r>
      <w:r w:rsidRPr="009A08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финансовый год </w:t>
      </w:r>
      <w:r w:rsidR="008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«Закультинское»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169 Бюджетного кодекса Российской Федерации разрабатывается и утверждается среднесрочный финансовый план</w:t>
      </w:r>
      <w:r w:rsidR="0082259D" w:rsidRPr="008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«Закультинское»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87E" w:rsidRPr="009A087E" w:rsidRDefault="009A087E" w:rsidP="009A08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Среднесрочный финансовый план </w:t>
      </w:r>
      <w:r w:rsidR="00822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«Закультинское»</w:t>
      </w:r>
      <w:r w:rsidR="0082259D"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среднесрочный финансовый план)</w:t>
      </w:r>
      <w:r w:rsidRPr="009A08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 ежегодно разрабатывается с соблюдением положений Бюджетного кодекса Российской Федерации, а также основными направлениями бюджетной и налоговой политики муниципального образования.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среднесрочным финансовым планом понимается документ, содержащий основные параметры проекта бюджета</w:t>
      </w:r>
      <w:r w:rsidR="008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«Закультинское»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показателей среднесрочного финансового плана </w:t>
      </w:r>
      <w:r w:rsidR="00822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«Закультинское»</w:t>
      </w:r>
      <w:r w:rsidRPr="009A08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основных показателей проекта местного бюджета должны соответствовать друг другу.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Утвержденный среднесрочный финансовый план должен содержать следующие показатели: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прогнозируемый общий объем доходов и расходов местного бюджета;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местного бюджета;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дефицит (профицит) местного бюджета;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Показатели среднесрочного финансового плана носят индикативный характер. 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Формирование среднесрочного финансового плана осуществляет </w:t>
      </w:r>
      <w:r w:rsidR="0082259D" w:rsidRPr="008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«Центр бухгалтерского учета и материально-технического обеспечения»</w:t>
      </w:r>
      <w:r w:rsidR="008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к настоящему Порядку в сроки, устанавливаемые распоряжением</w:t>
      </w:r>
      <w:r w:rsidR="008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«Закультинское»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среднесрочного финансового плана должен содержать следующие показатели в соответствии с утвержденными формами: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Основные показатели среднесрочного финансового плана на очередной финансовый год и плановый период (таблица 1 приложения к Положению);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Прогнозируемый общий объем доходов местного бюджета на очередной финансовый год и плановый период (таблица 2 приложения к Положению);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Прогнозируемый общий объем расходов местного бюджета на очередной финансовый год и плановый период (таблица 3 приложения к Положению);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Распределение объемов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местного бюджета на очередной финансовый год и плановый период (таблица 4 приложения к Положению);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Прогнозирование общего объема доходов местного бюджета среднесрочного финансового плана производится на основании следующих исходных данных: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действующих на день внесения проекта решения о местном бюджете на очередной финансовый год в </w:t>
      </w:r>
      <w:r w:rsidR="00822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 сельского поселения «Закультинское»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Российской Федерации, субъекта Российской Федерации и органов местного самоуправления </w:t>
      </w:r>
      <w:r w:rsidR="00A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«Закультинское» 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налоговых и бюджетных правоотношений;</w:t>
      </w:r>
      <w:proofErr w:type="gramEnd"/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показателей уточненного прогноза социально-экономического развития </w:t>
      </w:r>
      <w:r w:rsidR="00A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«Закультинское»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(очередной финансовый год и плановый период);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сведений, представленных главными администраторами (администраторами) доходов местного бюджета</w:t>
      </w:r>
      <w:r w:rsidR="00A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«Закультинское»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отраслевыми отделами администрации</w:t>
      </w:r>
      <w:r w:rsidR="00A85B5B" w:rsidRPr="00A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«Закультинское»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органами местного самоуправления</w:t>
      </w:r>
      <w:r w:rsidR="00A85B5B" w:rsidRPr="00A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«Закультинское»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расчета поступлений по отдельным видам доходов;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- других показателей по перечню, определенному</w:t>
      </w:r>
      <w:r w:rsidR="00A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 по финансам Хилокского района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Прогнозирование общего объема расходов, объемов бюджетных ассигнований местного бюджета </w:t>
      </w:r>
      <w:r w:rsidR="00A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«Закультинское» 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ведомственной структуре расходов в среднесрочном финансовом плане производится на основании следующих исходных данных: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действующих на момент составления среднесрочного финансового плана бюджетного законодательства Российской Федерации, иных документов (проектов документов), подготовленных федеральными органами государственной власти, органами государственной власти субъектов Российской Федерации, органами местного самоуправления</w:t>
      </w:r>
      <w:r w:rsidR="00A85B5B" w:rsidRPr="00A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«Закультинское»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вопросам бюджетного планирования;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показателей уточненного прогноза социально-экономического развития </w:t>
      </w:r>
      <w:r w:rsidR="00A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«Закультинское» 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(очередной финансовый год и плановый период);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показателей местного бюджета </w:t>
      </w:r>
      <w:r w:rsidR="00A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«Закультинское»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расходам на очередной финансовый год;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реестра расходных обязательств</w:t>
      </w:r>
      <w:r w:rsidR="00A85B5B" w:rsidRPr="00A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«Закультинское»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- методики планирования бюджетных ассигнований на очередной финансовый год, утвержденной</w:t>
      </w:r>
      <w:r w:rsidR="00A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 по финансам Хилокского района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обоснований объемов бюджетных ассигнований местного бюджета, представленных главными распорядителями бюджетных средств.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 Дефицит (профицит) местного бюджета </w:t>
      </w:r>
      <w:r w:rsidR="00A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«Закультинское»</w:t>
      </w:r>
      <w:r w:rsidRPr="009A08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среднесрочном финансовом плане определяется как сальдо прогнозируемых доходов и расходов.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параметров местного бюджета необходимо учитывать требования Бюджетного кодекса Российской Федерации.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0"/>
      <w:bookmarkEnd w:id="1"/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муниципального образования, в отношении которого осуществляются меры, предусмотренные </w:t>
      </w:r>
      <w:hyperlink r:id="rId8" w:history="1">
        <w:r w:rsidRPr="009A08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статьи 136</w:t>
        </w:r>
      </w:hyperlink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9A087E" w:rsidRPr="009A087E" w:rsidRDefault="009A087E" w:rsidP="009A0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утверждения муниципальным правовым актом </w:t>
      </w:r>
      <w:r w:rsidR="00A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«Закультинское»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 данные ограничения, в пределах суммы указанных поступлений и снижения</w:t>
      </w:r>
      <w:proofErr w:type="gramEnd"/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остатков средств на счетах по учету средств местного бюджета.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местного бюджета, сложившийся по данным годового отчета об исполнении соответствующего бюджета, должен соответствовать ограничениям, установленным пункту </w:t>
      </w:r>
      <w:hyperlink w:anchor="Par0" w:history="1">
        <w:r w:rsidRPr="009A08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92.1 Бюджетного кодекса Российской Федерации.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Прогнозирование источников финансирования дефицита местного бюджета </w:t>
      </w:r>
      <w:r w:rsidR="00A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«Закультинское» 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среднесрочном финансовом плане производится на основании следующих исходных данных: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нормативных правовых актов</w:t>
      </w:r>
      <w:r w:rsidR="00A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«Закультинское»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регулирующих источники финансирования дефицита местного бюджета;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сведений, представляемых главными администраторами источников финансирования дефицита местного бюджета, органами местного самоуправления </w:t>
      </w:r>
      <w:r w:rsidR="00A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«Закультинское»</w:t>
      </w:r>
      <w:r w:rsidRPr="009A08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планируемых поступлениях и выплатах по источникам финансирования дефицита местного бюджета</w:t>
      </w:r>
      <w:r w:rsidR="00A85B5B" w:rsidRPr="00A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«Закультинское»</w:t>
      </w:r>
      <w:r w:rsidRPr="009A08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формировании показателей верхнего предела муниципального долга необходимо учитывать требования Бюджетного кодекса Российской Федерации.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правовым актом представительного органа </w:t>
      </w:r>
      <w:r w:rsidR="00A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«Закультинское»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местном бюджете (решением о местном бюджете) устанавливаются 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</w:t>
      </w:r>
      <w:proofErr w:type="gramEnd"/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 </w:t>
      </w:r>
      <w:proofErr w:type="gramStart"/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proofErr w:type="gramEnd"/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 верхнего предела долга по муниципальным гарантиям в валюте Российской Федерации, муниципальным гарантиям в иностранной валюте (при наличии у муниципального образования обязательств по муниципальным гарантиям в иностранной валюте).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на 1 января года, следующего за очередным финансовым годом (очередным финансовым годом и каждым годом планового периода) среднесрочного финансового плана, устанавливаются при соблюдении ограничений, установленных Бюджетным кодексом Российской Федерации. 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муниципального образования, в отношении которого осуществляются меры, предусмотренные </w:t>
      </w:r>
      <w:hyperlink r:id="rId9" w:history="1">
        <w:r w:rsidRPr="009A08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статьи 136</w:t>
        </w:r>
      </w:hyperlink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объем долга не должен превышать 50 процентов утвержденного 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</w:t>
      </w:r>
      <w:proofErr w:type="gramEnd"/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 на доходы физических лиц.</w:t>
      </w:r>
    </w:p>
    <w:p w:rsidR="009A087E" w:rsidRPr="009A087E" w:rsidRDefault="00A85B5B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сельского поселения «Закультинское» </w:t>
      </w:r>
      <w:r w:rsidR="009A087E"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в рамках управления соответствующим долгом и в пределах соответствующих ограничений, утвердить дополнительные ограничения по муниципальному долгу.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Проект среднесрочного финансового плана разрабатывается путем уточнения параметров планового периода утвержденного среднесрочного финансового плана и добавления параметров на второй год планового периода.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Показатели среднесрочного финансового плана могут быть изменены при разработке и утверждении проекта среднесрочного финансового плана на очередной финансовый год и плановый период в связи с уточнением основных параметров прогноза социально-экономического развития </w:t>
      </w:r>
      <w:r w:rsidR="00A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«Закультинское»</w:t>
      </w:r>
      <w:r w:rsidRPr="009A08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период.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Пояснительная записка к проекту среднесрочного финансового плана составляется финансовым органом муниципального образования.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должна содержать: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- характеристику основных параметров среднесрочного финансового плана;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анализ влияющих на них факторов и условий;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причины изменений ранее утвержденных основных показателей среднесрочного финансового плана;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обоснование распределения бюджетных ассигнований на исполнение действующих расходных обязательств и принимаемых обязательств в разрезе главных распорядителей бюджетных средств.</w:t>
      </w:r>
    </w:p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 Проект среднесрочного финансового плана направляется финансовым органом муниципального образования</w:t>
      </w:r>
      <w:r w:rsidRPr="009A08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и утверждение в</w:t>
      </w:r>
      <w:r w:rsidR="00A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сельского поселения «Закультинское»</w:t>
      </w:r>
      <w:r w:rsidRPr="009A08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A087E" w:rsidRPr="009A087E" w:rsidRDefault="009A087E" w:rsidP="009A08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9A087E" w:rsidRPr="009A087E" w:rsidSect="002F50A2">
          <w:headerReference w:type="default" r:id="rId10"/>
          <w:pgSz w:w="11906" w:h="16838" w:code="9"/>
          <w:pgMar w:top="1134" w:right="567" w:bottom="709" w:left="1134" w:header="709" w:footer="709" w:gutter="0"/>
          <w:cols w:space="708"/>
          <w:titlePg/>
          <w:docGrid w:linePitch="360"/>
        </w:sectPr>
      </w:pPr>
    </w:p>
    <w:p w:rsidR="009A087E" w:rsidRPr="009A087E" w:rsidRDefault="009A087E" w:rsidP="009A08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A087E" w:rsidRPr="009A087E" w:rsidRDefault="009A087E" w:rsidP="009A08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формирования среднесрочного финансового плана</w:t>
      </w:r>
    </w:p>
    <w:p w:rsidR="009A087E" w:rsidRPr="009A087E" w:rsidRDefault="009A087E" w:rsidP="009A08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среднесрочного финансового плана</w:t>
      </w:r>
    </w:p>
    <w:p w:rsidR="009A087E" w:rsidRPr="009A087E" w:rsidRDefault="009A087E" w:rsidP="009A087E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 w:cs="Times New Roman"/>
          <w:sz w:val="20"/>
          <w:szCs w:val="24"/>
        </w:rPr>
      </w:pPr>
    </w:p>
    <w:p w:rsidR="009A087E" w:rsidRPr="009A087E" w:rsidRDefault="009A087E" w:rsidP="009A08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85"/>
      <w:bookmarkEnd w:id="2"/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СРЕДНЕСРОЧНЫЙ ФИНАНСОВЫЙ ПЛАН</w:t>
      </w:r>
    </w:p>
    <w:p w:rsidR="009A087E" w:rsidRPr="009A087E" w:rsidRDefault="009A087E" w:rsidP="009A08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Pr="009A087E" w:rsidRDefault="009A087E" w:rsidP="009A087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6"/>
          <w:szCs w:val="24"/>
        </w:rPr>
      </w:pPr>
    </w:p>
    <w:p w:rsidR="009A087E" w:rsidRPr="009A087E" w:rsidRDefault="009A087E" w:rsidP="009A08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(наименование муниципального образования)</w:t>
      </w:r>
    </w:p>
    <w:p w:rsidR="009A087E" w:rsidRPr="009A087E" w:rsidRDefault="009A087E" w:rsidP="009A08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9A087E" w:rsidRPr="009A087E" w:rsidRDefault="009A087E" w:rsidP="009A08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Pr="009A087E" w:rsidRDefault="009A087E" w:rsidP="009A0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087E" w:rsidRPr="009A087E" w:rsidRDefault="009A087E" w:rsidP="009A08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88"/>
      <w:bookmarkEnd w:id="3"/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20_____год и плановый период 20__ и 20__годов</w:t>
      </w:r>
    </w:p>
    <w:p w:rsidR="009A087E" w:rsidRPr="009A087E" w:rsidRDefault="009A087E" w:rsidP="009A087E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A087E">
        <w:rPr>
          <w:rFonts w:ascii="Times New Roman" w:hAnsi="Times New Roman" w:cs="Times New Roman"/>
          <w:sz w:val="28"/>
          <w:szCs w:val="28"/>
        </w:rPr>
        <w:t>Основные показатели среднесрочного финансового плана на 20_____год и плановый период 20__ и 20__годов</w:t>
      </w:r>
    </w:p>
    <w:p w:rsidR="009A087E" w:rsidRPr="009A087E" w:rsidRDefault="009A087E" w:rsidP="009A087E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0"/>
          <w:szCs w:val="24"/>
        </w:rPr>
      </w:pPr>
    </w:p>
    <w:p w:rsidR="009A087E" w:rsidRPr="009A087E" w:rsidRDefault="009A087E" w:rsidP="009A087E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A087E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639" w:type="dxa"/>
        <w:tblCellSpacing w:w="5" w:type="nil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276"/>
        <w:gridCol w:w="1276"/>
        <w:gridCol w:w="1275"/>
      </w:tblGrid>
      <w:tr w:rsidR="009A087E" w:rsidRPr="009A087E" w:rsidTr="000C7B0D">
        <w:trPr>
          <w:trHeight w:val="232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A087E" w:rsidRPr="009A087E" w:rsidRDefault="009A087E" w:rsidP="009A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276" w:type="dxa"/>
            <w:shd w:val="clear" w:color="auto" w:fill="auto"/>
          </w:tcPr>
          <w:p w:rsidR="009A087E" w:rsidRPr="009A087E" w:rsidRDefault="009A087E" w:rsidP="009A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</w:tcPr>
          <w:p w:rsidR="009A087E" w:rsidRPr="009A087E" w:rsidRDefault="009A087E" w:rsidP="009A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9A087E" w:rsidRPr="009A087E" w:rsidTr="000C7B0D">
        <w:trPr>
          <w:trHeight w:val="15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87E" w:rsidRPr="009A087E" w:rsidTr="000C7B0D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E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7E" w:rsidRPr="009A087E" w:rsidTr="000C7B0D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7E" w:rsidRPr="009A087E" w:rsidTr="000C7B0D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E"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7E" w:rsidRPr="009A087E" w:rsidTr="000C7B0D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E"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7E" w:rsidRPr="009A087E" w:rsidTr="000C7B0D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E">
              <w:rPr>
                <w:rFonts w:ascii="Times New Roman" w:hAnsi="Times New Roman" w:cs="Times New Roman"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7E" w:rsidRPr="009A087E" w:rsidTr="000C7B0D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7E" w:rsidRPr="009A087E" w:rsidTr="000C7B0D">
        <w:trPr>
          <w:trHeight w:val="123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7E" w:rsidRPr="009A087E" w:rsidTr="000C7B0D">
        <w:trPr>
          <w:trHeight w:val="40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E">
              <w:rPr>
                <w:rFonts w:ascii="Times New Roman" w:hAnsi="Times New Roman" w:cs="Times New Roman"/>
                <w:sz w:val="24"/>
                <w:szCs w:val="24"/>
              </w:rPr>
              <w:t>- безвозмездные поступления от других</w:t>
            </w:r>
          </w:p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E">
              <w:rPr>
                <w:rFonts w:ascii="Times New Roman" w:hAnsi="Times New Roman" w:cs="Times New Roman"/>
                <w:sz w:val="24"/>
                <w:szCs w:val="24"/>
              </w:rPr>
              <w:t>бюджетов бюджетной системы Российской Федерации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7E" w:rsidRPr="009A087E" w:rsidTr="000C7B0D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E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7E" w:rsidRPr="009A087E" w:rsidTr="000C7B0D">
        <w:trPr>
          <w:trHeight w:val="196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7E" w:rsidRPr="009A087E" w:rsidTr="000C7B0D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E">
              <w:rPr>
                <w:rFonts w:ascii="Times New Roman" w:hAnsi="Times New Roman" w:cs="Times New Roman"/>
                <w:sz w:val="24"/>
                <w:szCs w:val="24"/>
              </w:rPr>
              <w:t>на исполнение действующих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7E" w:rsidRPr="009A087E" w:rsidTr="000C7B0D">
        <w:trPr>
          <w:trHeight w:val="46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E">
              <w:rPr>
                <w:rFonts w:ascii="Times New Roman" w:hAnsi="Times New Roman" w:cs="Times New Roman"/>
                <w:sz w:val="24"/>
                <w:szCs w:val="24"/>
              </w:rPr>
              <w:t>на исполнение принимаемых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7E" w:rsidRPr="009A087E" w:rsidTr="000C7B0D">
        <w:trPr>
          <w:trHeight w:val="190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E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9A087E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9A087E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7E" w:rsidRPr="009A087E" w:rsidTr="000C7B0D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E">
              <w:rPr>
                <w:rFonts w:ascii="Times New Roman" w:hAnsi="Times New Roman" w:cs="Times New Roman"/>
                <w:sz w:val="24"/>
                <w:szCs w:val="24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87E" w:rsidRPr="009A087E" w:rsidRDefault="009A087E" w:rsidP="009A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7E" w:rsidRPr="009A087E" w:rsidRDefault="009A087E" w:rsidP="009A0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87E">
        <w:rPr>
          <w:rFonts w:ascii="Times New Roman" w:hAnsi="Times New Roman" w:cs="Times New Roman"/>
          <w:sz w:val="24"/>
          <w:szCs w:val="24"/>
        </w:rPr>
        <w:br w:type="page"/>
      </w:r>
    </w:p>
    <w:p w:rsidR="009A087E" w:rsidRPr="009A087E" w:rsidRDefault="009A087E" w:rsidP="009A08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p w:rsidR="009A087E" w:rsidRPr="009A087E" w:rsidRDefault="009A087E" w:rsidP="009A0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87E">
        <w:rPr>
          <w:rFonts w:ascii="Times New Roman" w:hAnsi="Times New Roman" w:cs="Times New Roman"/>
          <w:sz w:val="28"/>
          <w:szCs w:val="28"/>
        </w:rPr>
        <w:t>Прогнозируемый общий объем доходов местного бюджета</w:t>
      </w:r>
    </w:p>
    <w:p w:rsidR="009A087E" w:rsidRPr="009A087E" w:rsidRDefault="009A087E" w:rsidP="009A087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87E" w:rsidRPr="009A087E" w:rsidRDefault="009A087E" w:rsidP="009A0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(наименование муниципального образования)</w:t>
      </w:r>
    </w:p>
    <w:p w:rsidR="009A087E" w:rsidRPr="009A087E" w:rsidRDefault="009A087E" w:rsidP="009A0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A087E">
        <w:rPr>
          <w:rFonts w:ascii="Times New Roman" w:hAnsi="Times New Roman" w:cs="Times New Roman"/>
          <w:sz w:val="28"/>
          <w:szCs w:val="24"/>
        </w:rPr>
        <w:t>на 20_____год и плановый период 20__ и 20__годов</w:t>
      </w:r>
    </w:p>
    <w:p w:rsidR="009A087E" w:rsidRPr="009A087E" w:rsidRDefault="009A087E" w:rsidP="009A08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6"/>
          <w:szCs w:val="24"/>
          <w:lang w:eastAsia="ru-RU"/>
        </w:rPr>
      </w:pPr>
    </w:p>
    <w:p w:rsidR="009A087E" w:rsidRPr="009A087E" w:rsidRDefault="009A087E" w:rsidP="009A08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087E">
        <w:rPr>
          <w:rFonts w:ascii="Times New Roman" w:eastAsiaTheme="minorEastAsia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2126"/>
        <w:gridCol w:w="2127"/>
        <w:gridCol w:w="2126"/>
      </w:tblGrid>
      <w:tr w:rsidR="009A087E" w:rsidRPr="009A087E" w:rsidTr="000C7B0D">
        <w:trPr>
          <w:trHeight w:val="427"/>
        </w:trPr>
        <w:tc>
          <w:tcPr>
            <w:tcW w:w="3823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08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 доходов</w:t>
            </w:r>
          </w:p>
        </w:tc>
        <w:tc>
          <w:tcPr>
            <w:tcW w:w="2126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08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Прогноз на очередной финансовый год</w:t>
            </w:r>
          </w:p>
        </w:tc>
        <w:tc>
          <w:tcPr>
            <w:tcW w:w="2127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08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Прогноз на 1 год планового периода</w:t>
            </w:r>
          </w:p>
        </w:tc>
        <w:tc>
          <w:tcPr>
            <w:tcW w:w="2126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08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Прогноз на 2 год планового периода</w:t>
            </w:r>
          </w:p>
        </w:tc>
      </w:tr>
      <w:tr w:rsidR="009A087E" w:rsidRPr="009A087E" w:rsidTr="000C7B0D">
        <w:trPr>
          <w:trHeight w:val="28"/>
        </w:trPr>
        <w:tc>
          <w:tcPr>
            <w:tcW w:w="3823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08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08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08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08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087E" w:rsidRPr="009A087E" w:rsidTr="000C7B0D">
        <w:tc>
          <w:tcPr>
            <w:tcW w:w="3823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08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26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87E" w:rsidRPr="009A087E" w:rsidTr="000C7B0D">
        <w:tc>
          <w:tcPr>
            <w:tcW w:w="3823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08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126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87E" w:rsidRPr="009A087E" w:rsidTr="000C7B0D">
        <w:tc>
          <w:tcPr>
            <w:tcW w:w="3823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87E" w:rsidRPr="009A087E" w:rsidTr="000C7B0D">
        <w:tc>
          <w:tcPr>
            <w:tcW w:w="3823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87E" w:rsidRPr="009A087E" w:rsidTr="000C7B0D">
        <w:tc>
          <w:tcPr>
            <w:tcW w:w="3823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08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126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87E" w:rsidRPr="009A087E" w:rsidTr="000C7B0D">
        <w:tc>
          <w:tcPr>
            <w:tcW w:w="3823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87E" w:rsidRPr="009A087E" w:rsidTr="000C7B0D">
        <w:tc>
          <w:tcPr>
            <w:tcW w:w="3823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87E" w:rsidRPr="009A087E" w:rsidTr="000C7B0D">
        <w:tc>
          <w:tcPr>
            <w:tcW w:w="3823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08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87E" w:rsidRPr="009A087E" w:rsidTr="000C7B0D">
        <w:tc>
          <w:tcPr>
            <w:tcW w:w="3823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87E" w:rsidRPr="009A087E" w:rsidTr="000C7B0D">
        <w:tc>
          <w:tcPr>
            <w:tcW w:w="3823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08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126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087E" w:rsidRPr="009A087E" w:rsidRDefault="009A087E" w:rsidP="009A08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9A087E" w:rsidRPr="009A087E" w:rsidRDefault="009A087E" w:rsidP="009A087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</w:p>
    <w:p w:rsidR="009A087E" w:rsidRPr="009A087E" w:rsidRDefault="009A087E" w:rsidP="009A087E">
      <w:pPr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  <w:r w:rsidRPr="009A087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087E" w:rsidRPr="009A087E" w:rsidRDefault="009A087E" w:rsidP="009A08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3</w:t>
      </w:r>
    </w:p>
    <w:p w:rsidR="009A087E" w:rsidRPr="009A087E" w:rsidRDefault="009A087E" w:rsidP="009A0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A087E">
        <w:rPr>
          <w:rFonts w:ascii="Times New Roman" w:hAnsi="Times New Roman" w:cs="Times New Roman"/>
          <w:sz w:val="28"/>
          <w:szCs w:val="24"/>
        </w:rPr>
        <w:t>Прогнозируемый общий объем расходов местного бюджета</w:t>
      </w:r>
    </w:p>
    <w:p w:rsidR="009A087E" w:rsidRPr="009A087E" w:rsidRDefault="009A087E" w:rsidP="009A087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A087E" w:rsidRPr="009A087E" w:rsidRDefault="009A087E" w:rsidP="009A0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(наименование муниципального образования)</w:t>
      </w:r>
    </w:p>
    <w:p w:rsidR="009A087E" w:rsidRPr="009A087E" w:rsidRDefault="009A087E" w:rsidP="009A0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A087E">
        <w:rPr>
          <w:rFonts w:ascii="Times New Roman" w:hAnsi="Times New Roman" w:cs="Times New Roman"/>
          <w:sz w:val="28"/>
          <w:szCs w:val="24"/>
        </w:rPr>
        <w:t>на 20_____год и плановый период 20__ и 20__годов</w:t>
      </w:r>
    </w:p>
    <w:p w:rsidR="009A087E" w:rsidRPr="009A087E" w:rsidRDefault="009A087E" w:rsidP="009A08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6"/>
          <w:szCs w:val="24"/>
          <w:lang w:eastAsia="ru-RU"/>
        </w:rPr>
      </w:pPr>
    </w:p>
    <w:p w:rsidR="009A087E" w:rsidRPr="009A087E" w:rsidRDefault="009A087E" w:rsidP="009A08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087E">
        <w:rPr>
          <w:rFonts w:ascii="Times New Roman" w:eastAsiaTheme="minorEastAsia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8"/>
        <w:gridCol w:w="2867"/>
        <w:gridCol w:w="1644"/>
        <w:gridCol w:w="1940"/>
        <w:gridCol w:w="1713"/>
        <w:gridCol w:w="1713"/>
      </w:tblGrid>
      <w:tr w:rsidR="009A087E" w:rsidRPr="009A087E" w:rsidTr="000C7B0D">
        <w:trPr>
          <w:trHeight w:val="400"/>
          <w:tblCellSpacing w:w="5" w:type="nil"/>
        </w:trPr>
        <w:tc>
          <w:tcPr>
            <w:tcW w:w="1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N</w:t>
            </w:r>
          </w:p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proofErr w:type="gramStart"/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п</w:t>
            </w:r>
            <w:proofErr w:type="gramEnd"/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/п</w:t>
            </w:r>
          </w:p>
        </w:tc>
        <w:tc>
          <w:tcPr>
            <w:tcW w:w="13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Код раздела, подраздела</w:t>
            </w:r>
          </w:p>
        </w:tc>
        <w:tc>
          <w:tcPr>
            <w:tcW w:w="9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на очередной финансовый год, тыс. руб.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на 1 год планового периода, тыс. руб.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на 2 год планового периода, тыс. руб.</w:t>
            </w:r>
          </w:p>
        </w:tc>
      </w:tr>
      <w:tr w:rsidR="009A087E" w:rsidRPr="009A087E" w:rsidTr="000C7B0D">
        <w:trPr>
          <w:trHeight w:val="372"/>
          <w:tblCellSpacing w:w="5" w:type="nil"/>
        </w:trPr>
        <w:tc>
          <w:tcPr>
            <w:tcW w:w="1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</w:p>
        </w:tc>
        <w:tc>
          <w:tcPr>
            <w:tcW w:w="13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</w:p>
        </w:tc>
        <w:tc>
          <w:tcPr>
            <w:tcW w:w="9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</w:p>
        </w:tc>
      </w:tr>
      <w:tr w:rsidR="009A087E" w:rsidRPr="009A087E" w:rsidTr="000C7B0D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1</w:t>
            </w: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2</w:t>
            </w: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3</w:t>
            </w: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4</w:t>
            </w: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5</w:t>
            </w: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6</w:t>
            </w:r>
          </w:p>
        </w:tc>
      </w:tr>
      <w:tr w:rsidR="009A087E" w:rsidRPr="009A087E" w:rsidTr="000C7B0D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</w:tr>
      <w:tr w:rsidR="009A087E" w:rsidRPr="009A087E" w:rsidTr="000C7B0D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</w:tr>
      <w:tr w:rsidR="009A087E" w:rsidRPr="009A087E" w:rsidTr="000C7B0D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</w:tr>
      <w:tr w:rsidR="009A087E" w:rsidRPr="009A087E" w:rsidTr="000C7B0D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</w:tr>
    </w:tbl>
    <w:p w:rsidR="009A087E" w:rsidRPr="009A087E" w:rsidRDefault="009A087E" w:rsidP="009A08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087E" w:rsidRPr="009A087E" w:rsidRDefault="009A087E" w:rsidP="009A08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87E" w:rsidRPr="009A087E" w:rsidRDefault="009A087E" w:rsidP="009A08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87E" w:rsidRPr="009A087E" w:rsidRDefault="009A087E" w:rsidP="009A08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219"/>
      <w:bookmarkStart w:id="5" w:name="P262"/>
      <w:bookmarkEnd w:id="4"/>
      <w:bookmarkEnd w:id="5"/>
      <w:r w:rsidRPr="009A08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</w:p>
    <w:p w:rsidR="009A087E" w:rsidRPr="009A087E" w:rsidRDefault="009A087E" w:rsidP="009A0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A087E">
        <w:rPr>
          <w:rFonts w:ascii="Times New Roman" w:hAnsi="Times New Roman" w:cs="Times New Roman"/>
          <w:sz w:val="28"/>
          <w:szCs w:val="24"/>
        </w:rPr>
        <w:t>Распределение объемов бюджетных ассигнований</w:t>
      </w:r>
    </w:p>
    <w:p w:rsidR="009A087E" w:rsidRPr="009A087E" w:rsidRDefault="009A087E" w:rsidP="009A0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A087E">
        <w:rPr>
          <w:rFonts w:ascii="Times New Roman" w:hAnsi="Times New Roman" w:cs="Times New Roman"/>
          <w:sz w:val="28"/>
          <w:szCs w:val="24"/>
        </w:rPr>
        <w:t>по главным распорядителям средств бюджета</w:t>
      </w:r>
    </w:p>
    <w:p w:rsidR="009A087E" w:rsidRPr="009A087E" w:rsidRDefault="009A087E" w:rsidP="009A087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A087E" w:rsidRPr="009A087E" w:rsidRDefault="009A087E" w:rsidP="009A0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(наименование муниципального образования)</w:t>
      </w:r>
    </w:p>
    <w:p w:rsidR="009A087E" w:rsidRPr="009A087E" w:rsidRDefault="009A087E" w:rsidP="009A0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A087E">
        <w:rPr>
          <w:rFonts w:ascii="Times New Roman" w:hAnsi="Times New Roman" w:cs="Times New Roman"/>
          <w:sz w:val="28"/>
          <w:szCs w:val="24"/>
        </w:rPr>
        <w:t>на 20_____год и плановый период 20__ и 20__годов</w:t>
      </w:r>
    </w:p>
    <w:p w:rsidR="009A087E" w:rsidRPr="009A087E" w:rsidRDefault="009A087E" w:rsidP="009A08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6"/>
          <w:szCs w:val="24"/>
          <w:lang w:eastAsia="ru-RU"/>
        </w:rPr>
      </w:pPr>
    </w:p>
    <w:p w:rsidR="009A087E" w:rsidRPr="009A087E" w:rsidRDefault="009A087E" w:rsidP="009A08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087E">
        <w:rPr>
          <w:rFonts w:ascii="Times New Roman" w:eastAsiaTheme="minorEastAsia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3"/>
        <w:gridCol w:w="1810"/>
        <w:gridCol w:w="1810"/>
        <w:gridCol w:w="481"/>
        <w:gridCol w:w="481"/>
        <w:gridCol w:w="603"/>
        <w:gridCol w:w="481"/>
        <w:gridCol w:w="1358"/>
        <w:gridCol w:w="1329"/>
        <w:gridCol w:w="1329"/>
      </w:tblGrid>
      <w:tr w:rsidR="009A087E" w:rsidRPr="009A087E" w:rsidTr="000C7B0D">
        <w:trPr>
          <w:trHeight w:val="400"/>
          <w:tblCellSpacing w:w="5" w:type="nil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N</w:t>
            </w:r>
          </w:p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proofErr w:type="gramStart"/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п</w:t>
            </w:r>
            <w:proofErr w:type="gramEnd"/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/п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Наименование</w:t>
            </w:r>
          </w:p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главного</w:t>
            </w:r>
          </w:p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распорядителя</w:t>
            </w:r>
          </w:p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бюджетных средств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Код</w:t>
            </w:r>
          </w:p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главного</w:t>
            </w:r>
          </w:p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распорядителя</w:t>
            </w:r>
          </w:p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бюджетных средств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РЗ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proofErr w:type="gramStart"/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ЦСР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ВР</w:t>
            </w:r>
          </w:p>
        </w:tc>
        <w:tc>
          <w:tcPr>
            <w:tcW w:w="19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Сумма</w:t>
            </w:r>
          </w:p>
        </w:tc>
      </w:tr>
      <w:tr w:rsidR="009A087E" w:rsidRPr="009A087E" w:rsidTr="000C7B0D">
        <w:trPr>
          <w:trHeight w:val="800"/>
          <w:tblCellSpacing w:w="5" w:type="nil"/>
        </w:trPr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E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</w:p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E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E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E">
              <w:rPr>
                <w:rFonts w:ascii="Times New Roman" w:hAnsi="Times New Roman" w:cs="Times New Roman"/>
                <w:sz w:val="24"/>
                <w:szCs w:val="24"/>
              </w:rPr>
              <w:t>планового</w:t>
            </w:r>
          </w:p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E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E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E">
              <w:rPr>
                <w:rFonts w:ascii="Times New Roman" w:hAnsi="Times New Roman" w:cs="Times New Roman"/>
                <w:sz w:val="24"/>
                <w:szCs w:val="24"/>
              </w:rPr>
              <w:t>планового</w:t>
            </w:r>
          </w:p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E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</w:tr>
      <w:tr w:rsidR="009A087E" w:rsidRPr="009A087E" w:rsidTr="000C7B0D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1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2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3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4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5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6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7</w:t>
            </w: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Courier New"/>
                <w:sz w:val="24"/>
                <w:szCs w:val="24"/>
              </w:rPr>
            </w:pPr>
            <w:r w:rsidRPr="009A087E">
              <w:rPr>
                <w:rFonts w:ascii="Times New Roman CYR" w:hAnsi="Times New Roman CYR" w:cs="Courier New"/>
                <w:sz w:val="24"/>
                <w:szCs w:val="24"/>
              </w:rPr>
              <w:t>10</w:t>
            </w:r>
          </w:p>
        </w:tc>
      </w:tr>
      <w:tr w:rsidR="009A087E" w:rsidRPr="009A087E" w:rsidTr="000C7B0D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</w:tr>
      <w:tr w:rsidR="009A087E" w:rsidRPr="009A087E" w:rsidTr="000C7B0D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87E" w:rsidRPr="009A087E" w:rsidRDefault="009A087E" w:rsidP="009A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Courier New"/>
                <w:sz w:val="24"/>
                <w:szCs w:val="24"/>
              </w:rPr>
            </w:pPr>
          </w:p>
        </w:tc>
      </w:tr>
    </w:tbl>
    <w:p w:rsidR="009A087E" w:rsidRPr="009A087E" w:rsidRDefault="009A087E" w:rsidP="009A08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087E" w:rsidRPr="009A087E" w:rsidRDefault="009A087E" w:rsidP="009A08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87E" w:rsidRPr="009A087E" w:rsidRDefault="009A087E" w:rsidP="009A08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98"/>
      <w:bookmarkStart w:id="7" w:name="P355"/>
      <w:bookmarkStart w:id="8" w:name="P395"/>
      <w:bookmarkStart w:id="9" w:name="P422"/>
      <w:bookmarkEnd w:id="6"/>
      <w:bookmarkEnd w:id="7"/>
      <w:bookmarkEnd w:id="8"/>
      <w:bookmarkEnd w:id="9"/>
    </w:p>
    <w:p w:rsidR="009A087E" w:rsidRPr="009A087E" w:rsidRDefault="009A087E" w:rsidP="009A0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87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A087E" w:rsidRPr="009A087E" w:rsidRDefault="009A087E" w:rsidP="009A0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87E">
        <w:rPr>
          <w:rFonts w:ascii="Times New Roman" w:hAnsi="Times New Roman" w:cs="Times New Roman"/>
          <w:sz w:val="28"/>
          <w:szCs w:val="28"/>
        </w:rPr>
        <w:t>К СРЕДНЕСРОЧНОМУ ФИНАНСОВОМУ ПЛАНУ</w:t>
      </w:r>
    </w:p>
    <w:p w:rsidR="009A087E" w:rsidRPr="009A087E" w:rsidRDefault="009A087E" w:rsidP="009A087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A087E" w:rsidRPr="009A087E" w:rsidRDefault="009A087E" w:rsidP="009A0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9A087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(наименование муниципального образования)</w:t>
      </w:r>
    </w:p>
    <w:p w:rsidR="009A087E" w:rsidRPr="009A087E" w:rsidRDefault="009A087E" w:rsidP="009A08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9E0" w:rsidRDefault="00CB29E0"/>
    <w:sectPr w:rsidR="00CB29E0" w:rsidSect="0072070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C9" w:rsidRDefault="00C34BC9" w:rsidP="009A087E">
      <w:pPr>
        <w:spacing w:after="0" w:line="240" w:lineRule="auto"/>
      </w:pPr>
      <w:r>
        <w:separator/>
      </w:r>
    </w:p>
  </w:endnote>
  <w:endnote w:type="continuationSeparator" w:id="0">
    <w:p w:rsidR="00C34BC9" w:rsidRDefault="00C34BC9" w:rsidP="009A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C9" w:rsidRDefault="00C34BC9" w:rsidP="009A087E">
      <w:pPr>
        <w:spacing w:after="0" w:line="240" w:lineRule="auto"/>
      </w:pPr>
      <w:r>
        <w:separator/>
      </w:r>
    </w:p>
  </w:footnote>
  <w:footnote w:type="continuationSeparator" w:id="0">
    <w:p w:rsidR="00C34BC9" w:rsidRDefault="00C34BC9" w:rsidP="009A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5294"/>
      <w:docPartObj>
        <w:docPartGallery w:val="Page Numbers (Top of Page)"/>
        <w:docPartUnique/>
      </w:docPartObj>
    </w:sdtPr>
    <w:sdtEndPr/>
    <w:sdtContent>
      <w:p w:rsidR="009A087E" w:rsidRDefault="009A08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31A">
          <w:rPr>
            <w:noProof/>
          </w:rPr>
          <w:t>10</w:t>
        </w:r>
        <w:r>
          <w:fldChar w:fldCharType="end"/>
        </w:r>
      </w:p>
    </w:sdtContent>
  </w:sdt>
  <w:p w:rsidR="009A087E" w:rsidRDefault="009A08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846F3"/>
    <w:multiLevelType w:val="hybridMultilevel"/>
    <w:tmpl w:val="64884F7A"/>
    <w:lvl w:ilvl="0" w:tplc="99ACF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95"/>
    <w:rsid w:val="00526D3C"/>
    <w:rsid w:val="0062231A"/>
    <w:rsid w:val="006822E9"/>
    <w:rsid w:val="006D5495"/>
    <w:rsid w:val="0082259D"/>
    <w:rsid w:val="009A087E"/>
    <w:rsid w:val="00A6150D"/>
    <w:rsid w:val="00A85B5B"/>
    <w:rsid w:val="00BC5B14"/>
    <w:rsid w:val="00C34BC9"/>
    <w:rsid w:val="00CB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A0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A0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9A087E"/>
    <w:rPr>
      <w:vertAlign w:val="superscript"/>
    </w:rPr>
  </w:style>
  <w:style w:type="paragraph" w:styleId="a6">
    <w:name w:val="header"/>
    <w:basedOn w:val="a"/>
    <w:link w:val="a7"/>
    <w:uiPriority w:val="99"/>
    <w:rsid w:val="009A08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A0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A087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A0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A0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9A087E"/>
    <w:rPr>
      <w:vertAlign w:val="superscript"/>
    </w:rPr>
  </w:style>
  <w:style w:type="paragraph" w:styleId="a6">
    <w:name w:val="header"/>
    <w:basedOn w:val="a"/>
    <w:link w:val="a7"/>
    <w:uiPriority w:val="99"/>
    <w:rsid w:val="009A08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A0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A087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01CB9447C7A403C33A68AF98B58EB1184B982EF3707FEC7166C6AA3BAD7E0BC23E6ECCD26BF8AB09DD368A7EE6D3729EEA555C9910Y5L5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95A489A9D96C8637A4202C5A37C0C9F35786E7F646A7479817CDBA3AC1567D959E5FBC53C7FCD90BF9A14F665ED929A346E2AAC9C4hCR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Глава</cp:lastModifiedBy>
  <cp:revision>6</cp:revision>
  <cp:lastPrinted>2024-11-28T01:26:00Z</cp:lastPrinted>
  <dcterms:created xsi:type="dcterms:W3CDTF">2024-11-18T02:50:00Z</dcterms:created>
  <dcterms:modified xsi:type="dcterms:W3CDTF">2024-11-28T01:27:00Z</dcterms:modified>
</cp:coreProperties>
</file>