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20" w:rsidRPr="00883899" w:rsidRDefault="00C648D0" w:rsidP="00C648D0">
      <w:pPr>
        <w:pStyle w:val="1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t>Методика</w:t>
      </w:r>
      <w:r w:rsidRPr="00883899">
        <w:rPr>
          <w:rFonts w:ascii="Times New Roman" w:hAnsi="Times New Roman"/>
          <w:color w:val="auto"/>
          <w:sz w:val="32"/>
          <w:szCs w:val="28"/>
        </w:rPr>
        <w:br/>
        <w:t>расчета и распределения дотаций</w:t>
      </w:r>
      <w:r w:rsidRPr="00883899">
        <w:rPr>
          <w:rFonts w:ascii="Times New Roman" w:hAnsi="Times New Roman"/>
          <w:color w:val="auto"/>
          <w:sz w:val="32"/>
          <w:szCs w:val="28"/>
        </w:rPr>
        <w:br/>
        <w:t>на выравнивание бюджетной обеспеченности поселений</w:t>
      </w:r>
      <w:r w:rsidRPr="00883899">
        <w:rPr>
          <w:rFonts w:ascii="Times New Roman" w:hAnsi="Times New Roman"/>
          <w:color w:val="auto"/>
          <w:sz w:val="32"/>
          <w:szCs w:val="28"/>
        </w:rPr>
        <w:br/>
        <w:t>из бюджета муниципального района</w:t>
      </w:r>
    </w:p>
    <w:p w:rsidR="00C648D0" w:rsidRPr="00883899" w:rsidRDefault="00C648D0" w:rsidP="00C648D0">
      <w:pPr>
        <w:pStyle w:val="1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br/>
      </w:r>
      <w:bookmarkStart w:id="0" w:name="sub_8001"/>
      <w:r w:rsidRPr="00883899">
        <w:rPr>
          <w:rFonts w:ascii="Times New Roman" w:hAnsi="Times New Roman"/>
          <w:color w:val="auto"/>
          <w:sz w:val="32"/>
          <w:szCs w:val="28"/>
        </w:rPr>
        <w:t>1. Введение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bookmarkEnd w:id="0"/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Методика расчета и распределения дотаций на выравнивание бюджетной обеспеченности поселений Забайкальского края (далее в настоящем приложении - Методика) включает следующие этапы: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bookmarkStart w:id="1" w:name="sub_8011"/>
      <w:r w:rsidRPr="00883899">
        <w:rPr>
          <w:rFonts w:ascii="Times New Roman" w:hAnsi="Times New Roman"/>
          <w:sz w:val="32"/>
          <w:szCs w:val="28"/>
        </w:rPr>
        <w:t>1) расчет распределения дотации на выравнивание бюджетной обеспеченности поселений в части фонда, образуемого за счет субвенции, полученной местным бюджетом на исполнение государственных полномочий по расчету и предоставлению дотаций поселениям за счет средств бюджета Забайкальского края;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bookmarkStart w:id="2" w:name="sub_8012"/>
      <w:bookmarkEnd w:id="1"/>
      <w:r w:rsidRPr="00883899">
        <w:rPr>
          <w:rFonts w:ascii="Times New Roman" w:hAnsi="Times New Roman"/>
          <w:sz w:val="32"/>
          <w:szCs w:val="28"/>
        </w:rPr>
        <w:t>2) расчет бюджетной обеспеченности поселений, входящих в состав территории муниципального района;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bookmarkStart w:id="3" w:name="sub_8013"/>
      <w:bookmarkEnd w:id="2"/>
      <w:r w:rsidRPr="00883899">
        <w:rPr>
          <w:rFonts w:ascii="Times New Roman" w:hAnsi="Times New Roman"/>
          <w:sz w:val="32"/>
          <w:szCs w:val="28"/>
        </w:rPr>
        <w:t>3) расчет распределения дотаций на выравнивание бюджетной обеспеченности поселений из бюджета муниципального района.</w:t>
      </w:r>
    </w:p>
    <w:bookmarkEnd w:id="3"/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</w:p>
    <w:p w:rsidR="00C648D0" w:rsidRPr="00883899" w:rsidRDefault="00C648D0" w:rsidP="00C648D0">
      <w:pPr>
        <w:pStyle w:val="1"/>
        <w:rPr>
          <w:rFonts w:ascii="Times New Roman" w:hAnsi="Times New Roman"/>
          <w:color w:val="auto"/>
          <w:sz w:val="32"/>
          <w:szCs w:val="28"/>
        </w:rPr>
      </w:pPr>
      <w:bookmarkStart w:id="4" w:name="sub_8002"/>
      <w:r w:rsidRPr="00883899">
        <w:rPr>
          <w:rFonts w:ascii="Times New Roman" w:hAnsi="Times New Roman"/>
          <w:color w:val="auto"/>
          <w:sz w:val="32"/>
          <w:szCs w:val="28"/>
        </w:rPr>
        <w:t>2. Основные понятия и определения, используемые в Методике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bookmarkEnd w:id="4"/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Бюджетная обеспеченность поселения - отношение индекса налогового потенциала к индексу бюджетных расходов поселения.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bookmarkStart w:id="5" w:name="sub_80022"/>
      <w:r w:rsidRPr="00883899">
        <w:rPr>
          <w:rFonts w:ascii="Times New Roman" w:hAnsi="Times New Roman"/>
          <w:sz w:val="32"/>
          <w:szCs w:val="28"/>
        </w:rPr>
        <w:t>Индекс налогового потенциала поселения - отношение налогового потенциала поселения в расчете на одного жителя к аналогичному показателю в среднем по поселениям, входящим в состав данного муниципального района.</w:t>
      </w:r>
    </w:p>
    <w:bookmarkEnd w:id="5"/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Налоговый потенциал поселения - оценка налоговых доходов, которые могут быть получены бюджетом поселения исходя из уровня развития и структуры экономики и (или) налоговой базы из налоговых источников, закрепленных в репрезентативной системе налогов за этим поселением, и дотаций на выравнивание бюджетной обеспеченности поселений.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gramStart"/>
      <w:r w:rsidRPr="00883899">
        <w:rPr>
          <w:rFonts w:ascii="Times New Roman" w:hAnsi="Times New Roman"/>
          <w:sz w:val="32"/>
          <w:szCs w:val="28"/>
        </w:rPr>
        <w:t xml:space="preserve">Индекс бюджетных расходов поселения показывает, насколько больше (меньше) средств бюджета поселения в расчете на душу населения по сравнению со средним по всем поселениям муниципального района уровнем необходимо затратить для </w:t>
      </w:r>
      <w:r w:rsidRPr="00883899">
        <w:rPr>
          <w:rFonts w:ascii="Times New Roman" w:hAnsi="Times New Roman"/>
          <w:sz w:val="32"/>
          <w:szCs w:val="28"/>
        </w:rPr>
        <w:lastRenderedPageBreak/>
        <w:t>осуществления полномочий по решению вопросов местного значения поселения с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  <w:proofErr w:type="gramEnd"/>
    </w:p>
    <w:p w:rsidR="00C648D0" w:rsidRPr="00883899" w:rsidRDefault="00C648D0" w:rsidP="00C648D0">
      <w:pPr>
        <w:pStyle w:val="1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t>3. Распределение дотаций на выравнивание бюджетной обеспеченности поселений, сформированных за счет субвенций, полученных местными бюджетами на исполнение полномочий по расчету и предоставлению дотаций поселениям за счет средств бюджета Забайкальского края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Часть дотации на выравнивание бюджетной обеспеченности поселений, сформированная за счет субвенций, полученных местными бюджетами на исполнение полномочий по расчету и предоставлению дотаций поселениям за счет средств бюджета Забайкальского края, распределяется между поселениями исходя из численности населения. Размер дотации определяется в соответствии с Методикой расчета субвенций бюджетам муниципальных районов на осуществление государственных полномочий по расчету и предоставлению дотаций поселениям из бюджета Забайкальского края согласно </w:t>
      </w:r>
      <w:hyperlink w:anchor="sub_2000" w:history="1">
        <w:r w:rsidRPr="00883899">
          <w:rPr>
            <w:rFonts w:ascii="Times New Roman" w:hAnsi="Times New Roman"/>
            <w:sz w:val="32"/>
            <w:szCs w:val="28"/>
          </w:rPr>
          <w:t>приложению 2</w:t>
        </w:r>
      </w:hyperlink>
      <w:r w:rsidRPr="00883899">
        <w:rPr>
          <w:rFonts w:ascii="Times New Roman" w:hAnsi="Times New Roman"/>
          <w:sz w:val="32"/>
          <w:szCs w:val="28"/>
        </w:rPr>
        <w:t xml:space="preserve"> к Закону</w:t>
      </w:r>
      <w:r w:rsidR="00E5472F" w:rsidRPr="00883899">
        <w:rPr>
          <w:rFonts w:ascii="Times New Roman" w:hAnsi="Times New Roman"/>
          <w:sz w:val="32"/>
          <w:szCs w:val="28"/>
        </w:rPr>
        <w:t xml:space="preserve"> Забайкальского края «О межбюджетных отношениях в Забайкальском крае»</w:t>
      </w:r>
      <w:r w:rsidRPr="00883899">
        <w:rPr>
          <w:rFonts w:ascii="Times New Roman" w:hAnsi="Times New Roman"/>
          <w:sz w:val="32"/>
          <w:szCs w:val="28"/>
        </w:rPr>
        <w:t xml:space="preserve"> и утверждается законом о бюджете Забайкальского края.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Общий объем дотации, получаемой поселениями, определяется по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До</w:t>
      </w:r>
      <w:proofErr w:type="gramStart"/>
      <w:r w:rsidRPr="00883899">
        <w:rPr>
          <w:rFonts w:ascii="Times New Roman" w:hAnsi="Times New Roman"/>
          <w:sz w:val="32"/>
          <w:szCs w:val="28"/>
        </w:rPr>
        <w:t>т(</w:t>
      </w:r>
      <w:proofErr w:type="gramEnd"/>
      <w:r w:rsidRPr="00883899">
        <w:rPr>
          <w:rFonts w:ascii="Times New Roman" w:hAnsi="Times New Roman"/>
          <w:sz w:val="32"/>
          <w:szCs w:val="28"/>
        </w:rPr>
        <w:t>П)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= РД * </w:t>
      </w: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До</w:t>
      </w:r>
      <w:proofErr w:type="gramStart"/>
      <w:r w:rsidRPr="00883899">
        <w:rPr>
          <w:rFonts w:ascii="Times New Roman" w:hAnsi="Times New Roman"/>
          <w:sz w:val="32"/>
          <w:szCs w:val="28"/>
        </w:rPr>
        <w:t>т(</w:t>
      </w:r>
      <w:proofErr w:type="gramEnd"/>
      <w:r w:rsidRPr="00883899">
        <w:rPr>
          <w:rFonts w:ascii="Times New Roman" w:hAnsi="Times New Roman"/>
          <w:sz w:val="32"/>
          <w:szCs w:val="28"/>
        </w:rPr>
        <w:t>П)j - расчетный размер дотации j-</w:t>
      </w:r>
      <w:proofErr w:type="spellStart"/>
      <w:r w:rsidRPr="00883899">
        <w:rPr>
          <w:rFonts w:ascii="Times New Roman" w:hAnsi="Times New Roman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поселению, передаваемой из бюджета муниципального района, в части дотации на выравнивание бюджетной обеспеченности поселений, сформированного за счет субвенций, полученных местными бюджетами на исполнение полномочий по расчету и предоставлению дотаций поселениям за счет средств бюджета Забайкальского края,</w:t>
      </w:r>
    </w:p>
    <w:p w:rsidR="00E5472F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РД - размер дотации на выравнивание бюджетной обеспеченности поселений за счет средств бюджета Забайкальского края, определяемый согласно </w:t>
      </w:r>
      <w:hyperlink w:anchor="sub_2000" w:history="1">
        <w:r w:rsidRPr="00883899">
          <w:rPr>
            <w:rFonts w:ascii="Times New Roman" w:hAnsi="Times New Roman"/>
            <w:sz w:val="32"/>
            <w:szCs w:val="28"/>
          </w:rPr>
          <w:t>приложению 2</w:t>
        </w:r>
      </w:hyperlink>
      <w:r w:rsidRPr="00883899">
        <w:rPr>
          <w:rFonts w:ascii="Times New Roman" w:hAnsi="Times New Roman"/>
          <w:sz w:val="32"/>
          <w:szCs w:val="28"/>
        </w:rPr>
        <w:t xml:space="preserve"> к </w:t>
      </w:r>
      <w:r w:rsidR="00E5472F" w:rsidRPr="00883899">
        <w:rPr>
          <w:rFonts w:ascii="Times New Roman" w:hAnsi="Times New Roman"/>
          <w:sz w:val="32"/>
          <w:szCs w:val="28"/>
        </w:rPr>
        <w:t xml:space="preserve">Закону Забайкальского края «О межбюджетных отношениях в </w:t>
      </w:r>
      <w:r w:rsidR="00E5472F" w:rsidRPr="00883899">
        <w:rPr>
          <w:rFonts w:ascii="Times New Roman" w:hAnsi="Times New Roman"/>
          <w:sz w:val="32"/>
          <w:szCs w:val="28"/>
        </w:rPr>
        <w:lastRenderedPageBreak/>
        <w:t>Забайкальском крае»,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численность постоянного населения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 входящего в состав данного муниципального района.</w:t>
      </w:r>
    </w:p>
    <w:p w:rsidR="00C62420" w:rsidRPr="00883899" w:rsidRDefault="00C6242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</w:p>
    <w:p w:rsidR="00C648D0" w:rsidRPr="00883899" w:rsidRDefault="00C648D0" w:rsidP="00C648D0">
      <w:pPr>
        <w:pStyle w:val="1"/>
        <w:spacing w:before="120" w:after="0"/>
        <w:rPr>
          <w:rFonts w:ascii="Times New Roman" w:hAnsi="Times New Roman"/>
          <w:color w:val="auto"/>
          <w:sz w:val="32"/>
          <w:szCs w:val="28"/>
        </w:rPr>
      </w:pPr>
      <w:bookmarkStart w:id="6" w:name="sub_8004"/>
      <w:r w:rsidRPr="00883899">
        <w:rPr>
          <w:rFonts w:ascii="Times New Roman" w:hAnsi="Times New Roman"/>
          <w:color w:val="auto"/>
          <w:sz w:val="32"/>
          <w:szCs w:val="28"/>
        </w:rPr>
        <w:t>4. Расчет бюджетной обеспеченности поселения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bookmarkEnd w:id="6"/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Бюджетная обеспеченность поселения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БО</w:t>
      </w:r>
      <w:proofErr w:type="gramStart"/>
      <w:r w:rsidRPr="00883899">
        <w:rPr>
          <w:rFonts w:ascii="Times New Roman" w:hAnsi="Times New Roman"/>
          <w:sz w:val="32"/>
          <w:szCs w:val="28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= ИНП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883899">
        <w:rPr>
          <w:rFonts w:ascii="Times New Roman" w:hAnsi="Times New Roman"/>
          <w:sz w:val="32"/>
          <w:szCs w:val="28"/>
        </w:rPr>
        <w:t>/ ИБР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БО</w:t>
      </w:r>
      <w:proofErr w:type="gramStart"/>
      <w:r w:rsidRPr="00883899">
        <w:rPr>
          <w:rFonts w:ascii="Times New Roman" w:hAnsi="Times New Roman"/>
          <w:sz w:val="32"/>
          <w:szCs w:val="28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бюджетная обеспеченность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ИНП</w:t>
      </w:r>
      <w:proofErr w:type="gramStart"/>
      <w:r w:rsidRPr="00883899">
        <w:rPr>
          <w:rFonts w:ascii="Times New Roman" w:hAnsi="Times New Roman"/>
          <w:sz w:val="32"/>
          <w:szCs w:val="28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индекс налогового потенциала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ИБР</w:t>
      </w:r>
      <w:proofErr w:type="gramStart"/>
      <w:r w:rsidRPr="00883899">
        <w:rPr>
          <w:rFonts w:ascii="Times New Roman" w:hAnsi="Times New Roman"/>
          <w:sz w:val="32"/>
          <w:szCs w:val="28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индекс бюджетных расходов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поселения.</w:t>
      </w:r>
    </w:p>
    <w:p w:rsidR="00C648D0" w:rsidRPr="00883899" w:rsidRDefault="00C648D0" w:rsidP="00C648D0">
      <w:pPr>
        <w:pStyle w:val="1"/>
        <w:spacing w:before="120" w:after="0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t>5. Расчет индекса налогового потенциала поселения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bookmarkStart w:id="7" w:name="sub_8051"/>
      <w:r w:rsidRPr="00883899">
        <w:rPr>
          <w:rFonts w:ascii="Times New Roman" w:hAnsi="Times New Roman"/>
          <w:sz w:val="32"/>
          <w:szCs w:val="28"/>
        </w:rPr>
        <w:t>5.1. Индекс налогового потенциала поселения рассчитывается по следующей формуле:</w:t>
      </w:r>
    </w:p>
    <w:bookmarkEnd w:id="7"/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ИНП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883899">
        <w:rPr>
          <w:rFonts w:ascii="Times New Roman" w:hAnsi="Times New Roman"/>
          <w:sz w:val="32"/>
          <w:szCs w:val="28"/>
        </w:rPr>
        <w:t>= (НП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/ Н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) / (НП /Н), где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ИНП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индекс налогового потенциала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НП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налоговый потенциал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Н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численность постоянного населения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НП - суммарный налоговый потенциал всех поселений, входящих в состав территории данного муниципального района, на 1 января финансового года,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Н - численность постоянного населения данного муниципального района.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bookmarkStart w:id="8" w:name="sub_8052"/>
      <w:r w:rsidRPr="00883899">
        <w:rPr>
          <w:rFonts w:ascii="Times New Roman" w:hAnsi="Times New Roman"/>
          <w:sz w:val="32"/>
          <w:szCs w:val="28"/>
        </w:rPr>
        <w:t>5.2. Расчет налогового потенциала поселения производится по репрезентативной системе налогов в разрезе отдельных видов налогов исходя из показателей уровня экономического развития (базы налогообложения) поселения, прогноза поступлений данного налога с территории всех поселений, входящих в состав территории муниципального района, в консолидированный бюджет Забайкальского края, норматива отчислений от данного налога в бюджеты поселений.</w:t>
      </w:r>
    </w:p>
    <w:bookmarkEnd w:id="8"/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Репрезентативная система налогов включает основные налоги, зачисляемые в бюджеты поселений, и отражает доходные возможности, которые учитываются при распределении </w:t>
      </w:r>
      <w:r w:rsidRPr="00883899">
        <w:rPr>
          <w:rFonts w:ascii="Times New Roman" w:hAnsi="Times New Roman"/>
          <w:sz w:val="32"/>
          <w:szCs w:val="28"/>
        </w:rPr>
        <w:lastRenderedPageBreak/>
        <w:t>финансовых сре</w:t>
      </w:r>
      <w:proofErr w:type="gramStart"/>
      <w:r w:rsidRPr="00883899">
        <w:rPr>
          <w:rFonts w:ascii="Times New Roman" w:hAnsi="Times New Roman"/>
          <w:sz w:val="32"/>
          <w:szCs w:val="28"/>
        </w:rPr>
        <w:t>дств в р</w:t>
      </w:r>
      <w:proofErr w:type="gramEnd"/>
      <w:r w:rsidRPr="00883899">
        <w:rPr>
          <w:rFonts w:ascii="Times New Roman" w:hAnsi="Times New Roman"/>
          <w:sz w:val="32"/>
          <w:szCs w:val="28"/>
        </w:rPr>
        <w:t>амках межбюджетного регулирования. Прочие виды налоговых доходов, не входящие в репрезентативную систему, не учитываются при определении размера дотаций, передаваемых поселениям.</w:t>
      </w:r>
    </w:p>
    <w:p w:rsidR="00720F36" w:rsidRPr="00230A16" w:rsidRDefault="00C648D0" w:rsidP="00230A16">
      <w:pPr>
        <w:spacing w:before="60"/>
        <w:ind w:firstLine="720"/>
        <w:jc w:val="both"/>
        <w:rPr>
          <w:rStyle w:val="a3"/>
          <w:rFonts w:ascii="Times New Roman" w:hAnsi="Times New Roman"/>
          <w:b w:val="0"/>
          <w:color w:val="auto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Состав репрезентативной системы налогов, перечень экономических показателей, характеризующих налоговый потенциал поселений по видам налогов, а также источники информации приведены в </w:t>
      </w:r>
      <w:hyperlink w:anchor="sub_45" w:history="1">
        <w:r w:rsidRPr="00883899">
          <w:rPr>
            <w:rFonts w:ascii="Times New Roman" w:hAnsi="Times New Roman"/>
            <w:sz w:val="32"/>
            <w:szCs w:val="28"/>
          </w:rPr>
          <w:t>таблице 2</w:t>
        </w:r>
      </w:hyperlink>
      <w:r w:rsidRPr="00883899">
        <w:rPr>
          <w:rFonts w:ascii="Times New Roman" w:hAnsi="Times New Roman"/>
          <w:sz w:val="32"/>
          <w:szCs w:val="28"/>
        </w:rPr>
        <w:t>.</w:t>
      </w:r>
      <w:bookmarkStart w:id="9" w:name="sub_45"/>
    </w:p>
    <w:p w:rsidR="00720F36" w:rsidRPr="00883899" w:rsidRDefault="00720F36" w:rsidP="00C648D0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32"/>
          <w:szCs w:val="28"/>
        </w:rPr>
      </w:pPr>
    </w:p>
    <w:p w:rsidR="00C648D0" w:rsidRPr="00883899" w:rsidRDefault="00C648D0" w:rsidP="00C648D0">
      <w:pPr>
        <w:ind w:firstLine="698"/>
        <w:jc w:val="right"/>
        <w:rPr>
          <w:rFonts w:ascii="Times New Roman" w:hAnsi="Times New Roman"/>
          <w:sz w:val="32"/>
          <w:szCs w:val="28"/>
        </w:rPr>
      </w:pPr>
      <w:bookmarkStart w:id="10" w:name="_GoBack"/>
      <w:bookmarkEnd w:id="10"/>
      <w:r w:rsidRPr="00883899">
        <w:rPr>
          <w:rStyle w:val="a3"/>
          <w:rFonts w:ascii="Times New Roman" w:hAnsi="Times New Roman"/>
          <w:bCs/>
          <w:color w:val="auto"/>
          <w:sz w:val="32"/>
          <w:szCs w:val="28"/>
        </w:rPr>
        <w:t>Таблица 2</w:t>
      </w:r>
    </w:p>
    <w:bookmarkEnd w:id="9"/>
    <w:p w:rsidR="00C648D0" w:rsidRPr="00883899" w:rsidRDefault="00C648D0" w:rsidP="00C648D0">
      <w:pPr>
        <w:pStyle w:val="1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t>Состав репрезентативной системы налогов для оценки налогового потенциала поселений, входящих в состав территории муниципального района</w:t>
      </w:r>
    </w:p>
    <w:p w:rsidR="00C62420" w:rsidRPr="00883899" w:rsidRDefault="00C62420" w:rsidP="00C62420">
      <w:pPr>
        <w:rPr>
          <w:rFonts w:ascii="Times New Roman" w:hAnsi="Times New Roman"/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360"/>
        <w:gridCol w:w="3240"/>
      </w:tblGrid>
      <w:tr w:rsidR="00C648D0" w:rsidRPr="00883899" w:rsidTr="001F7B8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883899">
              <w:rPr>
                <w:rFonts w:ascii="Times New Roman" w:hAnsi="Times New Roman"/>
                <w:b/>
                <w:bCs/>
                <w:sz w:val="28"/>
              </w:rPr>
              <w:t>Налог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883899">
              <w:rPr>
                <w:rFonts w:ascii="Times New Roman" w:hAnsi="Times New Roman"/>
                <w:b/>
                <w:bCs/>
                <w:sz w:val="28"/>
              </w:rPr>
              <w:t>Экономический показатель, характеризующий налоговый потенциал поселений, входящих в состав территорий муниципального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883899">
              <w:rPr>
                <w:rFonts w:ascii="Times New Roman" w:hAnsi="Times New Roman"/>
                <w:b/>
                <w:bCs/>
                <w:sz w:val="28"/>
              </w:rPr>
              <w:t>Источник информации</w:t>
            </w:r>
          </w:p>
        </w:tc>
      </w:tr>
      <w:tr w:rsidR="00C648D0" w:rsidRPr="00883899" w:rsidTr="001F7B8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Налог на доходы физических лиц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Фонд оплаты труда в целом по экономике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Уполномоченный орган муниципального образования</w:t>
            </w:r>
          </w:p>
        </w:tc>
      </w:tr>
      <w:tr w:rsidR="00C648D0" w:rsidRPr="00883899" w:rsidTr="001F7B8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Налог на имущество физических лиц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Стоимость имущества физических лиц, облагаемого налогом на имущество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Уполномоченный орган муниципального образования</w:t>
            </w:r>
          </w:p>
        </w:tc>
      </w:tr>
      <w:tr w:rsidR="00C648D0" w:rsidRPr="00883899" w:rsidTr="001F7B85"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Земельный налог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>Площади земель с учетом их кадастровой стоимости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D0" w:rsidRPr="00883899" w:rsidRDefault="00C648D0" w:rsidP="001F7B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883899">
              <w:rPr>
                <w:rFonts w:ascii="Times New Roman" w:hAnsi="Times New Roman"/>
                <w:sz w:val="28"/>
              </w:rPr>
              <w:t xml:space="preserve">Территориальный отдел </w:t>
            </w:r>
            <w:proofErr w:type="gramStart"/>
            <w:r w:rsidRPr="00883899">
              <w:rPr>
                <w:rFonts w:ascii="Times New Roman" w:hAnsi="Times New Roman"/>
                <w:sz w:val="28"/>
              </w:rPr>
              <w:t>Управления Федерального агентства кадастра объектов недвижимости</w:t>
            </w:r>
            <w:proofErr w:type="gramEnd"/>
            <w:r w:rsidRPr="00883899">
              <w:rPr>
                <w:rFonts w:ascii="Times New Roman" w:hAnsi="Times New Roman"/>
                <w:sz w:val="28"/>
              </w:rPr>
              <w:t xml:space="preserve"> по Забайкальскому краю</w:t>
            </w:r>
          </w:p>
        </w:tc>
      </w:tr>
    </w:tbl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bookmarkStart w:id="11" w:name="sub_8053"/>
      <w:r w:rsidRPr="00883899">
        <w:rPr>
          <w:rFonts w:ascii="Times New Roman" w:hAnsi="Times New Roman"/>
          <w:sz w:val="32"/>
          <w:szCs w:val="28"/>
        </w:rPr>
        <w:t>5.3. Налоговый потенциал поселения по отдельному налогу рассчитывается по формуле:</w:t>
      </w:r>
    </w:p>
    <w:bookmarkEnd w:id="11"/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НП</w:t>
      </w:r>
      <w:r w:rsidRPr="00883899">
        <w:rPr>
          <w:rFonts w:ascii="Times New Roman" w:hAnsi="Times New Roman"/>
          <w:sz w:val="32"/>
          <w:szCs w:val="28"/>
          <w:vertAlign w:val="subscript"/>
        </w:rPr>
        <w:t>jk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= </w:t>
      </w:r>
      <w:proofErr w:type="spellStart"/>
      <w:r w:rsidRPr="00883899">
        <w:rPr>
          <w:rFonts w:ascii="Times New Roman" w:hAnsi="Times New Roman"/>
          <w:sz w:val="32"/>
          <w:szCs w:val="28"/>
        </w:rPr>
        <w:t>ПД</w:t>
      </w:r>
      <w:r w:rsidRPr="00883899">
        <w:rPr>
          <w:rFonts w:ascii="Times New Roman" w:hAnsi="Times New Roman"/>
          <w:sz w:val="32"/>
          <w:szCs w:val="28"/>
          <w:vertAlign w:val="subscript"/>
        </w:rPr>
        <w:t>i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Норм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* (</w:t>
      </w:r>
      <w:proofErr w:type="spellStart"/>
      <w:r w:rsidRPr="00883899">
        <w:rPr>
          <w:rFonts w:ascii="Times New Roman" w:hAnsi="Times New Roman"/>
          <w:sz w:val="32"/>
          <w:szCs w:val="28"/>
        </w:rPr>
        <w:t>БН</w:t>
      </w:r>
      <w:r w:rsidRPr="00883899">
        <w:rPr>
          <w:rFonts w:ascii="Times New Roman" w:hAnsi="Times New Roman"/>
          <w:sz w:val="32"/>
          <w:szCs w:val="28"/>
          <w:vertAlign w:val="subscript"/>
        </w:rPr>
        <w:t>jk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/ </w:t>
      </w:r>
      <w:proofErr w:type="spellStart"/>
      <w:r w:rsidRPr="00883899">
        <w:rPr>
          <w:rFonts w:ascii="Times New Roman" w:hAnsi="Times New Roman"/>
          <w:sz w:val="32"/>
          <w:szCs w:val="28"/>
        </w:rPr>
        <w:t>БН</w:t>
      </w:r>
      <w:r w:rsidRPr="00883899">
        <w:rPr>
          <w:rFonts w:ascii="Times New Roman" w:hAnsi="Times New Roman"/>
          <w:sz w:val="32"/>
          <w:szCs w:val="28"/>
          <w:vertAlign w:val="subscript"/>
        </w:rPr>
        <w:t>k</w:t>
      </w:r>
      <w:proofErr w:type="spellEnd"/>
      <w:r w:rsidRPr="00883899">
        <w:rPr>
          <w:rFonts w:ascii="Times New Roman" w:hAnsi="Times New Roman"/>
          <w:sz w:val="32"/>
          <w:szCs w:val="28"/>
        </w:rPr>
        <w:t>), где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НП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налоговый потенциал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 по k-</w:t>
      </w:r>
      <w:proofErr w:type="spellStart"/>
      <w:r w:rsidRPr="00883899">
        <w:rPr>
          <w:rFonts w:ascii="Times New Roman" w:hAnsi="Times New Roman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налогу,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ПД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прогноз поступлений k-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налога с территории всех </w:t>
      </w:r>
      <w:r w:rsidRPr="00883899">
        <w:rPr>
          <w:rFonts w:ascii="Times New Roman" w:hAnsi="Times New Roman"/>
          <w:sz w:val="32"/>
          <w:szCs w:val="28"/>
        </w:rPr>
        <w:lastRenderedPageBreak/>
        <w:t>поселений, входящих в состав территории данного муниципального района, в консолидированный бюджет Забайкальского края в планируемом году,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Норм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единый норматив отчислений в бюджеты поселений от k-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налога в соответствии с требованиями Бюджетного кодекса Российской Федерации и </w:t>
      </w:r>
      <w:hyperlink w:anchor="sub_5" w:history="1">
        <w:r w:rsidRPr="00883899">
          <w:rPr>
            <w:rFonts w:ascii="Times New Roman" w:hAnsi="Times New Roman"/>
            <w:sz w:val="32"/>
            <w:szCs w:val="28"/>
          </w:rPr>
          <w:t>статьи 5</w:t>
        </w:r>
      </w:hyperlink>
      <w:r w:rsidRPr="00883899">
        <w:rPr>
          <w:rFonts w:ascii="Times New Roman" w:hAnsi="Times New Roman"/>
          <w:sz w:val="32"/>
          <w:szCs w:val="28"/>
        </w:rPr>
        <w:t xml:space="preserve"> </w:t>
      </w:r>
      <w:r w:rsidR="00E5472F" w:rsidRPr="00883899">
        <w:rPr>
          <w:rFonts w:ascii="Times New Roman" w:hAnsi="Times New Roman"/>
          <w:sz w:val="32"/>
          <w:szCs w:val="28"/>
        </w:rPr>
        <w:t>Закону Забайкальского края «О межбюджетных отношениях в Забайкальском крае»</w:t>
      </w:r>
      <w:r w:rsidRPr="00883899">
        <w:rPr>
          <w:rFonts w:ascii="Times New Roman" w:hAnsi="Times New Roman"/>
          <w:sz w:val="32"/>
          <w:szCs w:val="28"/>
        </w:rPr>
        <w:t>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БН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база налогообложения (экономический показатель, характеризующий налоговый потенциал)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 по k-</w:t>
      </w:r>
      <w:proofErr w:type="spellStart"/>
      <w:r w:rsidRPr="00883899">
        <w:rPr>
          <w:rFonts w:ascii="Times New Roman" w:hAnsi="Times New Roman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налогу в последнем отчетном году,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БН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суммарная база налогообложения (экономический показатель, характеризующий налоговый потенциал) всех поселений данного муниципального района по k-</w:t>
      </w:r>
      <w:proofErr w:type="spellStart"/>
      <w:r w:rsidRPr="00883899">
        <w:rPr>
          <w:rFonts w:ascii="Times New Roman" w:hAnsi="Times New Roman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налогу в последнем отчетном году.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bookmarkStart w:id="12" w:name="sub_8054"/>
      <w:r w:rsidRPr="00883899">
        <w:rPr>
          <w:rFonts w:ascii="Times New Roman" w:hAnsi="Times New Roman"/>
          <w:sz w:val="32"/>
          <w:szCs w:val="28"/>
        </w:rPr>
        <w:t>5.4. Налоговый потенциал поселения рассчитывается по следующей формуле:</w:t>
      </w:r>
    </w:p>
    <w:bookmarkEnd w:id="12"/>
    <w:p w:rsidR="00C648D0" w:rsidRPr="00883899" w:rsidRDefault="00C648D0" w:rsidP="00C648D0">
      <w:pPr>
        <w:spacing w:before="120"/>
        <w:ind w:firstLine="709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НП</w:t>
      </w:r>
      <w:proofErr w:type="gramStart"/>
      <w:r w:rsidRPr="00883899">
        <w:rPr>
          <w:rFonts w:ascii="Times New Roman" w:hAnsi="Times New Roman"/>
          <w:sz w:val="32"/>
          <w:szCs w:val="28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= </w:t>
      </w:r>
      <w:r w:rsidRPr="00883899">
        <w:rPr>
          <w:rFonts w:ascii="Times New Roman" w:hAnsi="Times New Roman"/>
          <w:sz w:val="32"/>
          <w:szCs w:val="28"/>
        </w:rPr>
        <w:sym w:font="Symbol" w:char="F053"/>
      </w:r>
      <w:r w:rsidRPr="00883899">
        <w:rPr>
          <w:rFonts w:ascii="Times New Roman" w:hAnsi="Times New Roman"/>
          <w:sz w:val="32"/>
          <w:szCs w:val="28"/>
        </w:rPr>
        <w:t xml:space="preserve">k </w:t>
      </w:r>
      <w:proofErr w:type="spellStart"/>
      <w:r w:rsidRPr="00883899">
        <w:rPr>
          <w:rFonts w:ascii="Times New Roman" w:hAnsi="Times New Roman"/>
          <w:sz w:val="32"/>
          <w:szCs w:val="28"/>
        </w:rPr>
        <w:t>НПjk</w:t>
      </w:r>
      <w:proofErr w:type="spellEnd"/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НП</w:t>
      </w:r>
      <w:proofErr w:type="gramStart"/>
      <w:r w:rsidRPr="00883899">
        <w:rPr>
          <w:rFonts w:ascii="Times New Roman" w:hAnsi="Times New Roman"/>
          <w:sz w:val="32"/>
          <w:szCs w:val="28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налоговый потенциал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НП</w:t>
      </w:r>
      <w:proofErr w:type="gramStart"/>
      <w:r w:rsidRPr="00883899">
        <w:rPr>
          <w:rFonts w:ascii="Times New Roman" w:hAnsi="Times New Roman"/>
          <w:sz w:val="32"/>
          <w:szCs w:val="28"/>
        </w:rPr>
        <w:t>jk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налоговый потенциал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 по k-</w:t>
      </w:r>
      <w:proofErr w:type="spellStart"/>
      <w:r w:rsidRPr="00883899">
        <w:rPr>
          <w:rFonts w:ascii="Times New Roman" w:hAnsi="Times New Roman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налогу (суммирование производится по всем налогам, входящим в репрезентативную систему налогов).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в целях межбюджетного регулирования.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Используемый подход, предполагающий исключение из расчетов части доходов местных бюджетов, а также отказ от использования фактических и прогнозных данных о доходах отдельных муниципальных образований, создает органам местного самоуправления стимулы к повышению собираемости налогов и улучшению условий, способствующих экономическому развитию и росту налоговой базы муниципальных образований.</w:t>
      </w:r>
    </w:p>
    <w:p w:rsidR="00720F36" w:rsidRPr="00883899" w:rsidRDefault="00720F36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</w:p>
    <w:p w:rsidR="00C648D0" w:rsidRPr="00883899" w:rsidRDefault="00C648D0" w:rsidP="00C648D0">
      <w:pPr>
        <w:pStyle w:val="1"/>
        <w:spacing w:before="120" w:after="0"/>
        <w:rPr>
          <w:rFonts w:ascii="Times New Roman" w:hAnsi="Times New Roman"/>
          <w:color w:val="auto"/>
          <w:sz w:val="32"/>
          <w:szCs w:val="28"/>
        </w:rPr>
      </w:pPr>
      <w:r w:rsidRPr="00883899">
        <w:rPr>
          <w:rFonts w:ascii="Times New Roman" w:hAnsi="Times New Roman"/>
          <w:color w:val="auto"/>
          <w:sz w:val="32"/>
          <w:szCs w:val="28"/>
        </w:rPr>
        <w:t>6. Расчет индекса бюджетных расходов поселений</w:t>
      </w:r>
    </w:p>
    <w:p w:rsidR="00720F36" w:rsidRPr="00883899" w:rsidRDefault="00720F36" w:rsidP="00720F36">
      <w:pPr>
        <w:rPr>
          <w:rFonts w:ascii="Times New Roman" w:hAnsi="Times New Roman"/>
          <w:sz w:val="28"/>
        </w:rPr>
      </w:pP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6.1. Индекс бюджетных расходов поселения рассчитывается </w:t>
      </w:r>
      <w:r w:rsidRPr="00883899">
        <w:rPr>
          <w:rFonts w:ascii="Times New Roman" w:hAnsi="Times New Roman"/>
          <w:sz w:val="32"/>
          <w:szCs w:val="28"/>
        </w:rPr>
        <w:lastRenderedPageBreak/>
        <w:t>по следующей формуле:</w:t>
      </w:r>
    </w:p>
    <w:p w:rsidR="00C648D0" w:rsidRPr="00883899" w:rsidRDefault="00C648D0" w:rsidP="00C648D0">
      <w:pPr>
        <w:spacing w:before="120"/>
        <w:ind w:firstLine="54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ИБР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= </w:t>
      </w:r>
      <w:proofErr w:type="spellStart"/>
      <w:r w:rsidRPr="00883899">
        <w:rPr>
          <w:rFonts w:ascii="Times New Roman" w:hAnsi="Times New Roman"/>
          <w:sz w:val="32"/>
          <w:szCs w:val="28"/>
        </w:rPr>
        <w:t>У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+ </w:t>
      </w:r>
      <w:proofErr w:type="spellStart"/>
      <w:proofErr w:type="gramStart"/>
      <w:r w:rsidRPr="00883899">
        <w:rPr>
          <w:rFonts w:ascii="Times New Roman" w:hAnsi="Times New Roman"/>
          <w:sz w:val="32"/>
          <w:szCs w:val="28"/>
        </w:rPr>
        <w:t>У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120"/>
        <w:ind w:firstLine="54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ИБР</w:t>
      </w:r>
      <w:proofErr w:type="gramStart"/>
      <w:r w:rsidRPr="00883899">
        <w:rPr>
          <w:rFonts w:ascii="Times New Roman" w:hAnsi="Times New Roman"/>
          <w:sz w:val="32"/>
          <w:szCs w:val="28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индекс бюджетных расходов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поселения,</w:t>
      </w:r>
    </w:p>
    <w:p w:rsidR="00C648D0" w:rsidRPr="00883899" w:rsidRDefault="00C648D0" w:rsidP="00C648D0">
      <w:pPr>
        <w:ind w:firstLine="54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У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- расчетный удельный вес расходов поселений на заработную плату, включая начисления на заработную плату, в общем объеме расходов поселений, </w:t>
      </w:r>
    </w:p>
    <w:p w:rsidR="00C648D0" w:rsidRPr="00883899" w:rsidRDefault="00C648D0" w:rsidP="00C648D0">
      <w:pPr>
        <w:ind w:firstLine="54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– коэффициент дифференциации заработной платы 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-м поселении,</w:t>
      </w:r>
    </w:p>
    <w:p w:rsidR="00C648D0" w:rsidRPr="00883899" w:rsidRDefault="00C648D0" w:rsidP="00C648D0">
      <w:pPr>
        <w:ind w:firstLine="540"/>
        <w:jc w:val="both"/>
        <w:rPr>
          <w:rFonts w:ascii="Times New Roman" w:hAnsi="Times New Roman"/>
          <w:sz w:val="32"/>
          <w:szCs w:val="28"/>
        </w:rPr>
      </w:pPr>
      <w:proofErr w:type="spellStart"/>
      <w:proofErr w:type="gramStart"/>
      <w:r w:rsidRPr="00883899">
        <w:rPr>
          <w:rFonts w:ascii="Times New Roman" w:hAnsi="Times New Roman"/>
          <w:sz w:val="32"/>
          <w:szCs w:val="28"/>
        </w:rPr>
        <w:t>У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расчетный удельный вес  прочих расходов в общем объеме расходов поселений, </w:t>
      </w:r>
    </w:p>
    <w:p w:rsidR="00C648D0" w:rsidRPr="00883899" w:rsidRDefault="00C648D0" w:rsidP="00C648D0">
      <w:pPr>
        <w:ind w:firstLine="54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883899">
        <w:rPr>
          <w:rFonts w:ascii="Times New Roman" w:hAnsi="Times New Roman"/>
          <w:sz w:val="32"/>
          <w:szCs w:val="28"/>
        </w:rPr>
        <w:t xml:space="preserve">- коэффициент дифференциации прочих расходов 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-м поселении.</w:t>
      </w:r>
    </w:p>
    <w:p w:rsidR="00C648D0" w:rsidRPr="00883899" w:rsidRDefault="00C648D0" w:rsidP="00C648D0">
      <w:pPr>
        <w:spacing w:before="120"/>
        <w:ind w:firstLine="54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6.2. Коэффициент дифференциации заработной платы 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-м поселении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= 1+К</w:t>
      </w:r>
      <w:r w:rsidRPr="00883899">
        <w:rPr>
          <w:rFonts w:ascii="Times New Roman" w:hAnsi="Times New Roman"/>
          <w:sz w:val="32"/>
          <w:szCs w:val="28"/>
          <w:vertAlign w:val="subscript"/>
        </w:rPr>
        <w:t>см</w:t>
      </w:r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зп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дифференциации заработной платы 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-м поселении;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см</w:t>
      </w:r>
      <w:r w:rsidRPr="00883899">
        <w:rPr>
          <w:rFonts w:ascii="Times New Roman" w:hAnsi="Times New Roman"/>
          <w:sz w:val="32"/>
          <w:szCs w:val="28"/>
        </w:rPr>
        <w:t xml:space="preserve"> - повышающий коэффициент к окладам и тарифным ставкам специалистам бюджетной сферы за работу в сельской местности.</w:t>
      </w:r>
    </w:p>
    <w:p w:rsidR="00C648D0" w:rsidRPr="00883899" w:rsidRDefault="00C648D0" w:rsidP="00C648D0">
      <w:pPr>
        <w:spacing w:before="120"/>
        <w:ind w:firstLine="54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6.3. Коэффициент дифференциации прочих расходов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= (КМ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* КД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* КУ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 * КТД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) / (</w:t>
      </w:r>
      <w:proofErr w:type="spellStart"/>
      <w:r w:rsidRPr="00883899">
        <w:rPr>
          <w:rFonts w:ascii="Times New Roman" w:hAnsi="Times New Roman"/>
          <w:sz w:val="32"/>
          <w:szCs w:val="28"/>
        </w:rPr>
        <w:t>КМ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КД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КУ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sz w:val="32"/>
          <w:szCs w:val="28"/>
        </w:rPr>
        <w:t>КТД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>), где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</w:t>
      </w:r>
      <w:r w:rsidRPr="00883899">
        <w:rPr>
          <w:rFonts w:ascii="Times New Roman" w:hAnsi="Times New Roman"/>
          <w:sz w:val="32"/>
          <w:szCs w:val="28"/>
          <w:vertAlign w:val="subscript"/>
        </w:rPr>
        <w:t>пр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дифференциации прочих расходов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КМ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>- коэффициент масштаба в j-м поселении,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– коэффициент дисперсности расселения в j-м поселении,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КУ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– коэффициент уровня урбанизации в j-м поселении,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КТД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– коэффициент транспортной доступности в j-м поселении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КМ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– средний коэффициент масштаба по поселениям,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КД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– средний коэффициент дисперсности расселения по поселениям,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КУ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– средний коэффициент уровня урбанизации по поселениям,</w:t>
      </w:r>
    </w:p>
    <w:p w:rsidR="00C648D0" w:rsidRPr="00883899" w:rsidRDefault="00C648D0" w:rsidP="00C648D0">
      <w:pPr>
        <w:spacing w:before="6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lastRenderedPageBreak/>
        <w:t>КТД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- средний коэффициент транспортной доступности по поселениям.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6.3.1. Коэффициент масштаба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КМ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= (0,6 * </w:t>
      </w: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+ 0,4 * </w:t>
      </w: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) / </w:t>
      </w: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КМ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масштаба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численность постоянного населения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Н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средняя численность постоянного населения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 xml:space="preserve">-го поселения. 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6.3.2. Коэффициент дисперсности расселения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= 1 + </w:t>
      </w:r>
      <w:proofErr w:type="spellStart"/>
      <w:r w:rsidRPr="00883899">
        <w:rPr>
          <w:rFonts w:ascii="Times New Roman" w:hAnsi="Times New Roman"/>
          <w:sz w:val="32"/>
          <w:szCs w:val="28"/>
        </w:rPr>
        <w:t>УВ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, где  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дисперсности расселения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поселения,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УВ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удельный вес постоянного населения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поселения, проживающего в населенных пунктах с численностью населения менее 500 человек.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6.3.3. Коэффициент уровня урбанизации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 рассчитывается по следующей формуле: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КУ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= 1 + </w:t>
      </w:r>
      <w:proofErr w:type="spellStart"/>
      <w:r w:rsidRPr="00883899">
        <w:rPr>
          <w:rFonts w:ascii="Times New Roman" w:hAnsi="Times New Roman"/>
          <w:sz w:val="32"/>
          <w:szCs w:val="28"/>
        </w:rPr>
        <w:t>УВГ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spacing w:before="120"/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КУ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уровня урбанизации в j-м поселении,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УВГ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sz w:val="32"/>
          <w:szCs w:val="28"/>
        </w:rPr>
        <w:t xml:space="preserve"> - удельный вес городского населения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поселения.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 xml:space="preserve">6.3.4. Коэффициент транспортной доступности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 рассчитывается по следующей формуле:</w:t>
      </w:r>
    </w:p>
    <w:p w:rsidR="00C648D0" w:rsidRPr="00883899" w:rsidRDefault="00C648D0" w:rsidP="00C648D0">
      <w:pPr>
        <w:ind w:firstLine="709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КТД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 = 1+ </w:t>
      </w:r>
      <w:proofErr w:type="spellStart"/>
      <w:r w:rsidRPr="00883899">
        <w:rPr>
          <w:rFonts w:ascii="Times New Roman" w:hAnsi="Times New Roman"/>
          <w:sz w:val="32"/>
          <w:szCs w:val="28"/>
          <w:lang w:val="en-US"/>
        </w:rPr>
        <w:t>R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 / </w:t>
      </w:r>
      <w:r w:rsidRPr="00883899">
        <w:rPr>
          <w:rFonts w:ascii="Times New Roman" w:hAnsi="Times New Roman"/>
          <w:sz w:val="32"/>
          <w:szCs w:val="28"/>
          <w:lang w:val="en-US"/>
        </w:rPr>
        <w:t>R</w:t>
      </w:r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r w:rsidRPr="00883899">
        <w:rPr>
          <w:rFonts w:ascii="Times New Roman" w:hAnsi="Times New Roman"/>
          <w:sz w:val="32"/>
          <w:szCs w:val="28"/>
        </w:rPr>
        <w:t xml:space="preserve"> + </w:t>
      </w:r>
      <w:proofErr w:type="spellStart"/>
      <w:r w:rsidRPr="00883899">
        <w:rPr>
          <w:rFonts w:ascii="Times New Roman" w:hAnsi="Times New Roman"/>
          <w:sz w:val="32"/>
          <w:szCs w:val="28"/>
          <w:lang w:val="en-US"/>
        </w:rPr>
        <w:t>K</w:t>
      </w:r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883899">
        <w:rPr>
          <w:rFonts w:ascii="Times New Roman" w:hAnsi="Times New Roman"/>
          <w:sz w:val="32"/>
          <w:szCs w:val="28"/>
        </w:rPr>
        <w:t xml:space="preserve">/ </w:t>
      </w:r>
      <w:r w:rsidRPr="00883899">
        <w:rPr>
          <w:rFonts w:ascii="Times New Roman" w:hAnsi="Times New Roman"/>
          <w:sz w:val="32"/>
          <w:szCs w:val="28"/>
          <w:lang w:val="en-US"/>
        </w:rPr>
        <w:t>K</w:t>
      </w:r>
      <w:r w:rsidRPr="00883899">
        <w:rPr>
          <w:rFonts w:ascii="Times New Roman" w:hAnsi="Times New Roman"/>
          <w:sz w:val="32"/>
          <w:szCs w:val="28"/>
        </w:rPr>
        <w:t>, где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КТД</w:t>
      </w:r>
      <w:proofErr w:type="gramStart"/>
      <w:r w:rsidRPr="00883899">
        <w:rPr>
          <w:rFonts w:ascii="Times New Roman" w:hAnsi="Times New Roman"/>
          <w:sz w:val="32"/>
          <w:szCs w:val="28"/>
          <w:vertAlign w:val="subscript"/>
          <w:lang w:val="en-US"/>
        </w:rPr>
        <w:t>j</w:t>
      </w:r>
      <w:proofErr w:type="gramEnd"/>
      <w:r w:rsidRPr="00883899">
        <w:rPr>
          <w:rFonts w:ascii="Times New Roman" w:hAnsi="Times New Roman"/>
          <w:sz w:val="32"/>
          <w:szCs w:val="28"/>
        </w:rPr>
        <w:t xml:space="preserve"> - коэффициент транспортной доступности </w:t>
      </w:r>
      <w:r w:rsidRPr="00883899">
        <w:rPr>
          <w:rFonts w:ascii="Times New Roman" w:hAnsi="Times New Roman"/>
          <w:sz w:val="32"/>
          <w:szCs w:val="28"/>
          <w:lang w:val="en-US"/>
        </w:rPr>
        <w:t>j</w:t>
      </w:r>
      <w:r w:rsidRPr="00883899">
        <w:rPr>
          <w:rFonts w:ascii="Times New Roman" w:hAnsi="Times New Roman"/>
          <w:sz w:val="32"/>
          <w:szCs w:val="28"/>
        </w:rPr>
        <w:t>-го поселения,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R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- расстояние от административного центра j-</w:t>
      </w:r>
      <w:proofErr w:type="spellStart"/>
      <w:r w:rsidRPr="00883899">
        <w:rPr>
          <w:rFonts w:ascii="Times New Roman" w:hAnsi="Times New Roman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поселения до административного центра муниципального района,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proofErr w:type="gramStart"/>
      <w:r w:rsidRPr="00883899">
        <w:rPr>
          <w:rFonts w:ascii="Times New Roman" w:hAnsi="Times New Roman"/>
          <w:sz w:val="32"/>
          <w:szCs w:val="28"/>
        </w:rPr>
        <w:t>R</w:t>
      </w:r>
      <w:proofErr w:type="gramEnd"/>
      <w:r w:rsidRPr="00883899">
        <w:rPr>
          <w:rFonts w:ascii="Times New Roman" w:hAnsi="Times New Roman"/>
          <w:sz w:val="32"/>
          <w:szCs w:val="28"/>
          <w:vertAlign w:val="subscript"/>
        </w:rPr>
        <w:t>ср</w:t>
      </w:r>
      <w:proofErr w:type="spellEnd"/>
      <w:r w:rsidRPr="00883899">
        <w:rPr>
          <w:rFonts w:ascii="Times New Roman" w:hAnsi="Times New Roman"/>
          <w:sz w:val="32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proofErr w:type="spellStart"/>
      <w:r w:rsidRPr="00883899">
        <w:rPr>
          <w:rFonts w:ascii="Times New Roman" w:hAnsi="Times New Roman"/>
          <w:sz w:val="32"/>
          <w:szCs w:val="28"/>
        </w:rPr>
        <w:t>K</w:t>
      </w:r>
      <w:r w:rsidRPr="00883899">
        <w:rPr>
          <w:rFonts w:ascii="Times New Roman" w:hAnsi="Times New Roman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883899">
        <w:rPr>
          <w:rFonts w:ascii="Times New Roman" w:hAnsi="Times New Roman"/>
          <w:sz w:val="32"/>
          <w:szCs w:val="28"/>
        </w:rPr>
        <w:t>- количество населенных пунктов в j-м поселении,</w:t>
      </w:r>
    </w:p>
    <w:p w:rsidR="00C648D0" w:rsidRPr="00883899" w:rsidRDefault="00C648D0" w:rsidP="00C648D0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883899">
        <w:rPr>
          <w:rFonts w:ascii="Times New Roman" w:hAnsi="Times New Roman"/>
          <w:sz w:val="32"/>
          <w:szCs w:val="28"/>
        </w:rPr>
        <w:t>K - количество населенных пунктов всех поселений, входящих в состав муниципального района.</w:t>
      </w:r>
    </w:p>
    <w:p w:rsidR="00F44FA7" w:rsidRPr="00883899" w:rsidRDefault="00F44FA7">
      <w:pPr>
        <w:rPr>
          <w:rFonts w:ascii="Times New Roman" w:hAnsi="Times New Roman"/>
          <w:sz w:val="28"/>
        </w:rPr>
      </w:pPr>
    </w:p>
    <w:p w:rsidR="00E5472F" w:rsidRPr="00883899" w:rsidRDefault="00E5472F">
      <w:pPr>
        <w:rPr>
          <w:rFonts w:ascii="Times New Roman" w:hAnsi="Times New Roman"/>
          <w:sz w:val="28"/>
        </w:rPr>
      </w:pPr>
    </w:p>
    <w:p w:rsidR="00E5472F" w:rsidRPr="00883899" w:rsidRDefault="00E5472F" w:rsidP="00E5472F">
      <w:pPr>
        <w:pStyle w:val="1"/>
        <w:spacing w:before="240" w:after="0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lastRenderedPageBreak/>
        <w:t>7. Распределение дотаций на выравнивание бюджетной обеспеченности поселений из бюджета муниципального района</w:t>
      </w:r>
    </w:p>
    <w:p w:rsidR="00720F36" w:rsidRPr="00883899" w:rsidRDefault="00720F36" w:rsidP="00720F36">
      <w:pPr>
        <w:rPr>
          <w:rFonts w:ascii="Times New Roman" w:hAnsi="Times New Roman"/>
          <w:sz w:val="28"/>
        </w:rPr>
      </w:pP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bookmarkStart w:id="13" w:name="sub_8071"/>
      <w:r w:rsidRPr="00883899">
        <w:rPr>
          <w:rFonts w:ascii="Times New Roman" w:hAnsi="Times New Roman"/>
          <w:color w:val="000000"/>
          <w:sz w:val="32"/>
          <w:szCs w:val="28"/>
        </w:rPr>
        <w:t>7.1. Дотации на выравнивание бюджетной обеспеченности из бюджетов муниципальных районов распределяются с целью выравнивания бюджетной обеспеченности поселений между поселениями, уровень бюджетной обеспече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нности которых не превышает У</w:t>
      </w:r>
      <w:r w:rsidRPr="00883899">
        <w:rPr>
          <w:rFonts w:ascii="Times New Roman" w:hAnsi="Times New Roman"/>
          <w:color w:val="000000"/>
          <w:sz w:val="32"/>
          <w:szCs w:val="28"/>
        </w:rPr>
        <w:t>.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bookmarkStart w:id="14" w:name="sub_8072"/>
      <w:bookmarkEnd w:id="13"/>
      <w:r w:rsidRPr="00883899">
        <w:rPr>
          <w:rFonts w:ascii="Times New Roman" w:hAnsi="Times New Roman"/>
          <w:color w:val="000000"/>
          <w:sz w:val="32"/>
          <w:szCs w:val="28"/>
        </w:rPr>
        <w:t>7.2. Объем дотаций на выравнивание бюджетной обеспеченности поселений из бюджета муниципального района определяется по следующей формуле:</w:t>
      </w:r>
    </w:p>
    <w:bookmarkEnd w:id="14"/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 xml:space="preserve">ОДВПР =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ПД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кбмр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ДП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расх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ОДП, где: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>ОДВПР – объем дотаций на выравнивание бюджетной обеспеченности поселений из бюджета муниципального района,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ПД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кбмр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прогноз доходов консолидированного бюджета данного муниципального района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в планируемом году, за исключением доходов, установленных в соответствии с пунктом 1 статьи 7.1. Закона Забайкальского края «О межбюджетных отношениях в Забайкальском крае»;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ДП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расх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доля расходов бюджетов поселений в расходах консолидированного бюджета соответствующего муниципального района,</w:t>
      </w:r>
    </w:p>
    <w:p w:rsidR="00A70644" w:rsidRPr="00883899" w:rsidRDefault="00E5472F" w:rsidP="00A70644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pacing w:val="-4"/>
          <w:sz w:val="32"/>
          <w:szCs w:val="28"/>
        </w:rPr>
        <w:t>ОДП – оценка объема налоговых и неналоговых доходов бюджетов поселений, входящих в состав данного муниципального ра</w:t>
      </w:r>
      <w:r w:rsidR="00A70644" w:rsidRPr="00883899">
        <w:rPr>
          <w:rFonts w:ascii="Times New Roman" w:hAnsi="Times New Roman"/>
          <w:color w:val="000000"/>
          <w:spacing w:val="-4"/>
          <w:sz w:val="32"/>
          <w:szCs w:val="28"/>
        </w:rPr>
        <w:t xml:space="preserve">йона в планируемом году, за исключением 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доходов, установленных в соответствии с пунктом 1 статьи 7.1. Закона Забайкальского края «О межбюджетных отношениях в Забайкальском крае»;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pacing w:val="-4"/>
          <w:sz w:val="32"/>
          <w:szCs w:val="28"/>
        </w:rPr>
      </w:pP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pacing w:val="-2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 xml:space="preserve">Объем дотаций на выравнивание бюджетной обеспеченности поселений из бюджета муниципального района утверждается </w:t>
      </w:r>
      <w:r w:rsidRPr="00883899">
        <w:rPr>
          <w:rFonts w:ascii="Times New Roman" w:hAnsi="Times New Roman"/>
          <w:color w:val="000000"/>
          <w:spacing w:val="-2"/>
          <w:sz w:val="32"/>
          <w:szCs w:val="28"/>
        </w:rPr>
        <w:t>представительным органом муниципального района в решении о бюджете муниципального района.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bookmarkStart w:id="15" w:name="sub_8073"/>
      <w:r w:rsidRPr="00883899">
        <w:rPr>
          <w:rFonts w:ascii="Times New Roman" w:hAnsi="Times New Roman"/>
          <w:color w:val="000000"/>
          <w:sz w:val="32"/>
          <w:szCs w:val="28"/>
        </w:rPr>
        <w:t>7.3. Расчет размера дотаций на выравнивание бюджетной обеспеченности поселений из бюджета муниципального района производится по следующей формуле:</w:t>
      </w:r>
    </w:p>
    <w:bookmarkEnd w:id="15"/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lastRenderedPageBreak/>
        <w:t>Дот(Р)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r w:rsidRPr="00883899">
        <w:rPr>
          <w:rFonts w:ascii="Times New Roman" w:hAnsi="Times New Roman"/>
          <w:color w:val="000000"/>
          <w:sz w:val="32"/>
          <w:szCs w:val="28"/>
        </w:rPr>
        <w:t xml:space="preserve"> = ОДВПР *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Т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proofErr w:type="gramStart"/>
      <w:r w:rsidRPr="00883899">
        <w:rPr>
          <w:rFonts w:ascii="Times New Roman" w:hAnsi="Times New Roman"/>
          <w:color w:val="000000"/>
          <w:sz w:val="32"/>
          <w:szCs w:val="28"/>
        </w:rPr>
        <w:t xml:space="preserve"> / Т</w:t>
      </w:r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>, где: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>До</w:t>
      </w:r>
      <w:proofErr w:type="gramStart"/>
      <w:r w:rsidRPr="00883899">
        <w:rPr>
          <w:rFonts w:ascii="Times New Roman" w:hAnsi="Times New Roman"/>
          <w:color w:val="000000"/>
          <w:sz w:val="32"/>
          <w:szCs w:val="28"/>
        </w:rPr>
        <w:t>т(</w:t>
      </w:r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>Р)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r w:rsidRPr="00883899">
        <w:rPr>
          <w:rFonts w:ascii="Times New Roman" w:hAnsi="Times New Roman"/>
          <w:color w:val="000000"/>
          <w:sz w:val="32"/>
          <w:szCs w:val="28"/>
        </w:rPr>
        <w:t xml:space="preserve"> – размер дотации на выравнивание бюджетной обеспеченности j-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му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поселению,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>ОДВПР – общий объем дотаций на выравнивание бюджетной обеспеченности поселений в данном муниципальном районе,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Т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объем средств, необходимый для доведения уровня бюджетной обесп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еченности j-</w:t>
      </w:r>
      <w:proofErr w:type="spellStart"/>
      <w:r w:rsidR="00A70644" w:rsidRPr="00883899">
        <w:rPr>
          <w:rFonts w:ascii="Times New Roman" w:hAnsi="Times New Roman"/>
          <w:color w:val="000000"/>
          <w:sz w:val="32"/>
          <w:szCs w:val="28"/>
        </w:rPr>
        <w:t>го</w:t>
      </w:r>
      <w:proofErr w:type="spellEnd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поселения до</w:t>
      </w:r>
      <w:proofErr w:type="gramStart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У</w:t>
      </w:r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>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>Т – суммарный объем средств, необходимый для доведения уровня бюджетной обеспеченности поселений, входящих в состав территории данног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о муниципального района, до У</w:t>
      </w:r>
      <w:r w:rsidRPr="00883899">
        <w:rPr>
          <w:rFonts w:ascii="Times New Roman" w:hAnsi="Times New Roman"/>
          <w:color w:val="000000"/>
          <w:sz w:val="32"/>
          <w:szCs w:val="28"/>
        </w:rPr>
        <w:t>.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 xml:space="preserve">Объем средств, необходимый для доведения уровня бюджетной 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обеспеченности поселения до</w:t>
      </w:r>
      <w:proofErr w:type="gramStart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У</w:t>
      </w:r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>, рассчитывается по следующей формуле: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Т</w:t>
      </w:r>
      <w:proofErr w:type="gramStart"/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 xml:space="preserve"> = (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ПД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пмр</w:t>
      </w:r>
      <w:proofErr w:type="spellEnd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/ Н) * (У</w:t>
      </w:r>
      <w:r w:rsidRPr="00883899">
        <w:rPr>
          <w:rFonts w:ascii="Times New Roman" w:hAnsi="Times New Roman"/>
          <w:color w:val="000000"/>
          <w:sz w:val="32"/>
          <w:szCs w:val="28"/>
        </w:rPr>
        <w:t xml:space="preserve"> –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БО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) *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ИБР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* 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Н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>, где: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Т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объем средств, необходимый для доведения уровня бюджетной обесп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еченности j-</w:t>
      </w:r>
      <w:proofErr w:type="spellStart"/>
      <w:r w:rsidR="00A70644" w:rsidRPr="00883899">
        <w:rPr>
          <w:rFonts w:ascii="Times New Roman" w:hAnsi="Times New Roman"/>
          <w:color w:val="000000"/>
          <w:sz w:val="32"/>
          <w:szCs w:val="28"/>
        </w:rPr>
        <w:t>го</w:t>
      </w:r>
      <w:proofErr w:type="spellEnd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поселения до</w:t>
      </w:r>
      <w:proofErr w:type="gramStart"/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У</w:t>
      </w:r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>,</w:t>
      </w:r>
    </w:p>
    <w:p w:rsidR="00E5472F" w:rsidRPr="00883899" w:rsidRDefault="00E5472F" w:rsidP="00A70644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ПД</w:t>
      </w:r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пмр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прогноз налоговых и неналоговых доходов бюджетов поселений, входящих в состав территории данного муниципального района, в планируемом году,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A70644" w:rsidRPr="00883899">
        <w:rPr>
          <w:rFonts w:ascii="Times New Roman" w:hAnsi="Times New Roman"/>
          <w:color w:val="000000"/>
          <w:spacing w:val="-4"/>
          <w:sz w:val="32"/>
          <w:szCs w:val="28"/>
        </w:rPr>
        <w:t xml:space="preserve">за исключением </w:t>
      </w:r>
      <w:r w:rsidR="00A70644" w:rsidRPr="00883899">
        <w:rPr>
          <w:rFonts w:ascii="Times New Roman" w:hAnsi="Times New Roman"/>
          <w:color w:val="000000"/>
          <w:sz w:val="32"/>
          <w:szCs w:val="28"/>
        </w:rPr>
        <w:t>доходов, установленных в соответствии с пунктом 1 статьи 7.1. Закона Забайкальского края «О межбюджетных отношениях в Забайкальском крае»;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r w:rsidRPr="00883899">
        <w:rPr>
          <w:rFonts w:ascii="Times New Roman" w:hAnsi="Times New Roman"/>
          <w:color w:val="000000"/>
          <w:sz w:val="32"/>
          <w:szCs w:val="28"/>
        </w:rPr>
        <w:t>Н – численность постоянного населения данного муниципального района,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БО</w:t>
      </w:r>
      <w:proofErr w:type="gramStart"/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бюджетная обеспеченность j-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поселения,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ИБР</w:t>
      </w:r>
      <w:proofErr w:type="gramStart"/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индекс бюджетных расходов j-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поселения,</w:t>
      </w:r>
    </w:p>
    <w:p w:rsidR="00E5472F" w:rsidRPr="00883899" w:rsidRDefault="00E5472F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Н</w:t>
      </w:r>
      <w:proofErr w:type="gramStart"/>
      <w:r w:rsidRPr="00883899">
        <w:rPr>
          <w:rFonts w:ascii="Times New Roman" w:hAnsi="Times New Roman"/>
          <w:color w:val="000000"/>
          <w:sz w:val="32"/>
          <w:szCs w:val="28"/>
          <w:vertAlign w:val="subscript"/>
        </w:rPr>
        <w:t>j</w:t>
      </w:r>
      <w:proofErr w:type="spellEnd"/>
      <w:proofErr w:type="gramEnd"/>
      <w:r w:rsidRPr="00883899">
        <w:rPr>
          <w:rFonts w:ascii="Times New Roman" w:hAnsi="Times New Roman"/>
          <w:color w:val="000000"/>
          <w:sz w:val="32"/>
          <w:szCs w:val="28"/>
        </w:rPr>
        <w:t xml:space="preserve"> – численность постоянного населения j-</w:t>
      </w:r>
      <w:proofErr w:type="spellStart"/>
      <w:r w:rsidRPr="00883899">
        <w:rPr>
          <w:rFonts w:ascii="Times New Roman" w:hAnsi="Times New Roman"/>
          <w:color w:val="000000"/>
          <w:sz w:val="32"/>
          <w:szCs w:val="28"/>
        </w:rPr>
        <w:t>го</w:t>
      </w:r>
      <w:proofErr w:type="spellEnd"/>
      <w:r w:rsidRPr="00883899">
        <w:rPr>
          <w:rFonts w:ascii="Times New Roman" w:hAnsi="Times New Roman"/>
          <w:color w:val="000000"/>
          <w:sz w:val="32"/>
          <w:szCs w:val="28"/>
        </w:rPr>
        <w:t xml:space="preserve"> поселения.</w:t>
      </w:r>
    </w:p>
    <w:p w:rsidR="009348D2" w:rsidRPr="00883899" w:rsidRDefault="009348D2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9348D2" w:rsidRPr="00883899" w:rsidRDefault="009348D2" w:rsidP="00E5472F">
      <w:pPr>
        <w:spacing w:before="120"/>
        <w:ind w:firstLine="709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9348D2" w:rsidRPr="00883899" w:rsidRDefault="009348D2" w:rsidP="009348D2">
      <w:pPr>
        <w:spacing w:before="120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883899">
        <w:rPr>
          <w:rFonts w:ascii="Times New Roman" w:hAnsi="Times New Roman"/>
          <w:b/>
          <w:color w:val="000000"/>
          <w:sz w:val="32"/>
          <w:szCs w:val="28"/>
        </w:rPr>
        <w:t>Примечание: Методика расчета дотации применяется отдельно по городским поселениям и отдельно по сельским поселениям.</w:t>
      </w:r>
    </w:p>
    <w:p w:rsidR="00E5472F" w:rsidRPr="00883899" w:rsidRDefault="00E5472F" w:rsidP="009348D2">
      <w:pPr>
        <w:jc w:val="both"/>
        <w:rPr>
          <w:rFonts w:ascii="Times New Roman" w:hAnsi="Times New Roman"/>
          <w:sz w:val="28"/>
        </w:rPr>
      </w:pPr>
    </w:p>
    <w:sectPr w:rsidR="00E5472F" w:rsidRPr="00883899" w:rsidSect="00F4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E7" w:rsidRDefault="007871E7" w:rsidP="00C62420">
      <w:r>
        <w:separator/>
      </w:r>
    </w:p>
  </w:endnote>
  <w:endnote w:type="continuationSeparator" w:id="0">
    <w:p w:rsidR="007871E7" w:rsidRDefault="007871E7" w:rsidP="00C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E7" w:rsidRDefault="007871E7" w:rsidP="00C62420">
      <w:r>
        <w:separator/>
      </w:r>
    </w:p>
  </w:footnote>
  <w:footnote w:type="continuationSeparator" w:id="0">
    <w:p w:rsidR="007871E7" w:rsidRDefault="007871E7" w:rsidP="00C6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8D0"/>
    <w:rsid w:val="00230A16"/>
    <w:rsid w:val="00720F36"/>
    <w:rsid w:val="007871E7"/>
    <w:rsid w:val="008146FD"/>
    <w:rsid w:val="00883899"/>
    <w:rsid w:val="009348D2"/>
    <w:rsid w:val="00A70644"/>
    <w:rsid w:val="00BD4780"/>
    <w:rsid w:val="00C62420"/>
    <w:rsid w:val="00C648D0"/>
    <w:rsid w:val="00E5472F"/>
    <w:rsid w:val="00F44FA7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48D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48D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648D0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C648D0"/>
    <w:pPr>
      <w:jc w:val="both"/>
    </w:pPr>
  </w:style>
  <w:style w:type="paragraph" w:styleId="a5">
    <w:name w:val="header"/>
    <w:basedOn w:val="a"/>
    <w:link w:val="a6"/>
    <w:uiPriority w:val="99"/>
    <w:unhideWhenUsed/>
    <w:rsid w:val="00C62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42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2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42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Т</dc:creator>
  <cp:keywords/>
  <dc:description/>
  <cp:lastModifiedBy>Татьяна</cp:lastModifiedBy>
  <cp:revision>7</cp:revision>
  <cp:lastPrinted>2017-11-14T01:28:00Z</cp:lastPrinted>
  <dcterms:created xsi:type="dcterms:W3CDTF">2011-11-14T14:06:00Z</dcterms:created>
  <dcterms:modified xsi:type="dcterms:W3CDTF">2017-11-14T01:30:00Z</dcterms:modified>
</cp:coreProperties>
</file>