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61" w:rsidRPr="00210541" w:rsidRDefault="00D56361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541">
        <w:rPr>
          <w:rFonts w:ascii="Times New Roman" w:eastAsia="Times New Roman" w:hAnsi="Times New Roman" w:cs="Times New Roman"/>
          <w:sz w:val="28"/>
          <w:szCs w:val="28"/>
        </w:rPr>
        <w:t xml:space="preserve">УВЕДОМЛЕНИЕ </w:t>
      </w:r>
    </w:p>
    <w:p w:rsidR="00710885" w:rsidRPr="00210541" w:rsidRDefault="00D56361" w:rsidP="0021054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0541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консультаций </w:t>
      </w:r>
      <w:r w:rsidRPr="0021054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отношении проекта </w:t>
      </w:r>
      <w:r w:rsidR="00951AC0" w:rsidRPr="00210541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210541">
        <w:rPr>
          <w:rFonts w:ascii="Times New Roman" w:hAnsi="Times New Roman" w:cs="Times New Roman"/>
          <w:sz w:val="28"/>
          <w:szCs w:val="28"/>
        </w:rPr>
        <w:t xml:space="preserve"> муниципального района «Хилокский район»</w:t>
      </w:r>
      <w:r w:rsidR="00980002" w:rsidRPr="00210541">
        <w:rPr>
          <w:rFonts w:ascii="Times New Roman" w:hAnsi="Times New Roman" w:cs="Times New Roman"/>
          <w:sz w:val="28"/>
          <w:szCs w:val="28"/>
        </w:rPr>
        <w:t xml:space="preserve"> </w:t>
      </w:r>
      <w:r w:rsidR="00923292" w:rsidRPr="00210541">
        <w:rPr>
          <w:rFonts w:ascii="Times New Roman" w:hAnsi="Times New Roman" w:cs="Times New Roman"/>
          <w:sz w:val="28"/>
          <w:szCs w:val="28"/>
        </w:rPr>
        <w:t>«</w:t>
      </w:r>
      <w:r w:rsidR="00710885" w:rsidRPr="00210541">
        <w:rPr>
          <w:rFonts w:ascii="Times New Roman" w:hAnsi="Times New Roman" w:cs="Times New Roman"/>
          <w:sz w:val="28"/>
          <w:szCs w:val="28"/>
        </w:rPr>
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района «Хилокский район» на 2025 год</w:t>
      </w:r>
      <w:r w:rsidR="00CA2241" w:rsidRPr="002105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</w:p>
    <w:p w:rsidR="00D56361" w:rsidRPr="00210541" w:rsidRDefault="00D56361" w:rsidP="0021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917C9" w:rsidRPr="00210541" w:rsidRDefault="00A917C9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96A99" w:rsidRPr="00210541" w:rsidRDefault="00796A99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541">
        <w:rPr>
          <w:rFonts w:ascii="Times New Roman" w:hAnsi="Times New Roman" w:cs="Times New Roman"/>
          <w:sz w:val="28"/>
          <w:szCs w:val="28"/>
        </w:rPr>
        <w:t xml:space="preserve">Уважаемый участник публичных консультаций! </w:t>
      </w:r>
    </w:p>
    <w:p w:rsidR="00796A99" w:rsidRPr="00210541" w:rsidRDefault="00796A99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41">
        <w:rPr>
          <w:rFonts w:ascii="Times New Roman" w:hAnsi="Times New Roman" w:cs="Times New Roman"/>
          <w:sz w:val="28"/>
          <w:szCs w:val="28"/>
        </w:rPr>
        <w:t>Администрация муниципального района «Хилокский район» уведомляет о проведении публичных консультаций в целях оценки регулирующего воздействия проекта нормативного правового акта.</w:t>
      </w:r>
    </w:p>
    <w:p w:rsidR="00796A99" w:rsidRPr="00210541" w:rsidRDefault="00796A99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521"/>
      </w:tblGrid>
      <w:tr w:rsidR="00A917C9" w:rsidRPr="00210541" w:rsidTr="00A917C9">
        <w:tc>
          <w:tcPr>
            <w:tcW w:w="2943" w:type="dxa"/>
          </w:tcPr>
          <w:p w:rsidR="00A917C9" w:rsidRPr="00210541" w:rsidRDefault="00A917C9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проекта НПА</w:t>
            </w:r>
          </w:p>
        </w:tc>
        <w:tc>
          <w:tcPr>
            <w:tcW w:w="6521" w:type="dxa"/>
          </w:tcPr>
          <w:p w:rsidR="00A917C9" w:rsidRPr="00210541" w:rsidRDefault="00D31F97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4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</w:t>
            </w:r>
            <w:r w:rsidR="00A917C9" w:rsidRPr="0021054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«Хилокский район»</w:t>
            </w:r>
          </w:p>
        </w:tc>
      </w:tr>
      <w:tr w:rsidR="00A917C9" w:rsidRPr="00210541" w:rsidTr="00A917C9">
        <w:tc>
          <w:tcPr>
            <w:tcW w:w="2943" w:type="dxa"/>
          </w:tcPr>
          <w:p w:rsidR="00A917C9" w:rsidRPr="00210541" w:rsidRDefault="00A917C9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521" w:type="dxa"/>
          </w:tcPr>
          <w:p w:rsidR="00A917C9" w:rsidRPr="00210541" w:rsidRDefault="00CA2241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12A67" w:rsidRPr="00210541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района «Хилокский район» на 2025 год</w:t>
            </w:r>
            <w:r w:rsidRPr="0021054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A917C9" w:rsidRPr="00210541" w:rsidTr="00A917C9">
        <w:tc>
          <w:tcPr>
            <w:tcW w:w="2943" w:type="dxa"/>
          </w:tcPr>
          <w:p w:rsidR="00A917C9" w:rsidRPr="00210541" w:rsidRDefault="00A917C9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срок вступления в силу</w:t>
            </w:r>
          </w:p>
        </w:tc>
        <w:tc>
          <w:tcPr>
            <w:tcW w:w="6521" w:type="dxa"/>
          </w:tcPr>
          <w:p w:rsidR="00FE7AEA" w:rsidRPr="00210541" w:rsidRDefault="00FE7AEA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следующий день после дня официального опубликования (обнародования) </w:t>
            </w:r>
            <w:r w:rsidRPr="00210541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</w:p>
        </w:tc>
      </w:tr>
      <w:tr w:rsidR="00A917C9" w:rsidRPr="00210541" w:rsidTr="00A917C9">
        <w:tc>
          <w:tcPr>
            <w:tcW w:w="2943" w:type="dxa"/>
          </w:tcPr>
          <w:p w:rsidR="00A917C9" w:rsidRPr="00210541" w:rsidRDefault="00A26E8C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41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необходимость </w:t>
            </w:r>
            <w:r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установления переходного периода для смены или изменения правового регулирования</w:t>
            </w:r>
          </w:p>
        </w:tc>
        <w:tc>
          <w:tcPr>
            <w:tcW w:w="6521" w:type="dxa"/>
          </w:tcPr>
          <w:p w:rsidR="00A917C9" w:rsidRPr="00210541" w:rsidRDefault="00A26E8C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41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  <w:r w:rsidR="00C22FF8" w:rsidRPr="00210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17C9" w:rsidRPr="00210541" w:rsidTr="00A917C9">
        <w:tc>
          <w:tcPr>
            <w:tcW w:w="2943" w:type="dxa"/>
          </w:tcPr>
          <w:p w:rsidR="00B53C09" w:rsidRPr="00210541" w:rsidRDefault="00B53C09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</w:t>
            </w:r>
          </w:p>
          <w:p w:rsidR="00A917C9" w:rsidRPr="00210541" w:rsidRDefault="00B53C09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t>об инициаторе</w:t>
            </w:r>
          </w:p>
        </w:tc>
        <w:tc>
          <w:tcPr>
            <w:tcW w:w="6521" w:type="dxa"/>
          </w:tcPr>
          <w:p w:rsidR="00A917C9" w:rsidRPr="00210541" w:rsidRDefault="00D12A67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41"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 и земельным отношениям</w:t>
            </w:r>
            <w:r w:rsidR="00423E03" w:rsidRPr="00210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C09" w:rsidRPr="00210541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941507" w:rsidRPr="002105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53C09" w:rsidRPr="0021054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«Хилокский район»</w:t>
            </w:r>
          </w:p>
          <w:p w:rsidR="00B53C09" w:rsidRPr="00210541" w:rsidRDefault="00B53C09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41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нахождения: г. Хилок, ул. Ленина, 9, 3-ий этаж, кабинет № </w:t>
            </w:r>
            <w:r w:rsidR="00210541" w:rsidRPr="002105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53C09" w:rsidRPr="00210541" w:rsidRDefault="005972C6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телефон: (8-30-237)21-</w:t>
            </w:r>
            <w:r w:rsidR="00210541"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10541"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контактное</w:t>
            </w:r>
            <w:proofErr w:type="gramEnd"/>
            <w:r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лицо – </w:t>
            </w:r>
            <w:r w:rsidR="00210541"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 Виктория Александровна</w:t>
            </w:r>
            <w:r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917C9" w:rsidRPr="00210541" w:rsidTr="00A917C9">
        <w:tc>
          <w:tcPr>
            <w:tcW w:w="2943" w:type="dxa"/>
          </w:tcPr>
          <w:p w:rsidR="00A917C9" w:rsidRPr="00210541" w:rsidRDefault="005972C6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правового регулирования</w:t>
            </w:r>
          </w:p>
        </w:tc>
        <w:tc>
          <w:tcPr>
            <w:tcW w:w="6521" w:type="dxa"/>
          </w:tcPr>
          <w:p w:rsidR="00210541" w:rsidRPr="00210541" w:rsidRDefault="00210541" w:rsidP="0021054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210541" w:rsidRPr="00210541" w:rsidRDefault="00210541" w:rsidP="0021054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прозрачности системы муниципального </w:t>
            </w:r>
            <w:r w:rsidRPr="00210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контроля;</w:t>
            </w:r>
          </w:p>
          <w:p w:rsidR="00210541" w:rsidRPr="00210541" w:rsidRDefault="00210541" w:rsidP="0021054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единого понимания обязательных требований, требований, установленных муниципальными правовыми актами</w:t>
            </w:r>
            <w:r w:rsidR="00302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10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      </w:r>
          </w:p>
          <w:p w:rsidR="00210541" w:rsidRPr="00210541" w:rsidRDefault="00210541" w:rsidP="0021054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уровня правовой грамотности подконтрол</w:t>
            </w:r>
            <w:r w:rsidR="00302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ьных субъектов, в том числе путё</w:t>
            </w:r>
            <w:r w:rsidRPr="00210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доступности информации об обязательных требованиях и необходимых мерах по их исполнению;</w:t>
            </w:r>
          </w:p>
          <w:p w:rsidR="00A917C9" w:rsidRPr="00210541" w:rsidRDefault="00210541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подконтрольных субъектов к добросовестному поведению.</w:t>
            </w:r>
          </w:p>
        </w:tc>
      </w:tr>
      <w:tr w:rsidR="00A917C9" w:rsidRPr="00210541" w:rsidTr="00A917C9">
        <w:tc>
          <w:tcPr>
            <w:tcW w:w="2943" w:type="dxa"/>
          </w:tcPr>
          <w:p w:rsidR="00A917C9" w:rsidRPr="00210541" w:rsidRDefault="005972C6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Описание проблемы, на решение которой направлено правовое регулирование</w:t>
            </w:r>
          </w:p>
        </w:tc>
        <w:tc>
          <w:tcPr>
            <w:tcW w:w="6521" w:type="dxa"/>
          </w:tcPr>
          <w:p w:rsidR="00A917C9" w:rsidRPr="00210541" w:rsidRDefault="00210541" w:rsidP="002105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Низкие знания правообладателей земельных участков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требованиях</w:t>
            </w:r>
            <w:r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предъявляемых к ним земельным законодательством Российской Федерации о порядке, способах и ограничениях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спользования земельных участков;</w:t>
            </w:r>
          </w:p>
          <w:p w:rsidR="00210541" w:rsidRPr="00210541" w:rsidRDefault="00210541" w:rsidP="0021054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t>ознательное бездействие правообладателей земельных участков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A49E2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сельх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оз</w:t>
            </w:r>
            <w:r w:rsidRPr="00FA49E2">
              <w:rPr>
                <w:rFonts w:ascii="Times New Roman" w:eastAsia="Times New Roman" w:hAnsi="Times New Roman" w:cs="Times New Roman"/>
                <w:sz w:val="27"/>
                <w:szCs w:val="27"/>
              </w:rPr>
              <w:t>назначения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части исполнения </w:t>
            </w:r>
            <w:r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поддержанию их в состоянии, пригодном для сельскохозяйственного использования.</w:t>
            </w:r>
            <w:bookmarkStart w:id="0" w:name="_GoBack"/>
            <w:bookmarkEnd w:id="0"/>
          </w:p>
        </w:tc>
      </w:tr>
      <w:tr w:rsidR="00A917C9" w:rsidRPr="00210541" w:rsidTr="00A917C9">
        <w:tc>
          <w:tcPr>
            <w:tcW w:w="2943" w:type="dxa"/>
          </w:tcPr>
          <w:p w:rsidR="005972C6" w:rsidRPr="00210541" w:rsidRDefault="005972C6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Срок, в течение которого уполномоченный орган принимает предложения </w:t>
            </w:r>
          </w:p>
          <w:p w:rsidR="00A917C9" w:rsidRPr="00210541" w:rsidRDefault="005972C6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541">
              <w:rPr>
                <w:rFonts w:ascii="Times New Roman" w:eastAsia="Times New Roman" w:hAnsi="Times New Roman" w:cs="Times New Roman"/>
                <w:sz w:val="28"/>
                <w:szCs w:val="28"/>
              </w:rPr>
              <w:t>и замечания к проекту НПА, и способ их представления</w:t>
            </w:r>
          </w:p>
        </w:tc>
        <w:tc>
          <w:tcPr>
            <w:tcW w:w="6521" w:type="dxa"/>
          </w:tcPr>
          <w:p w:rsidR="00A917C9" w:rsidRPr="009A74E9" w:rsidRDefault="00356283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Предложения и замечания к проекту НПА принимаются до </w:t>
            </w:r>
            <w:r w:rsidR="003B32FE" w:rsidRPr="009A74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A2241" w:rsidRPr="009A74E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B32FE" w:rsidRPr="009A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  <w:r w:rsidR="00CA2241" w:rsidRPr="009A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45 мин.</w:t>
            </w:r>
            <w:r w:rsidR="003B32FE" w:rsidRPr="009A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местному времени </w:t>
            </w:r>
            <w:r w:rsidR="009A74E9" w:rsidRPr="009A74E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CA2241" w:rsidRPr="009A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74E9" w:rsidRPr="009A74E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  <w:r w:rsidR="003B32FE" w:rsidRPr="009A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11502D" w:rsidRPr="009A74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A74E9" w:rsidRPr="009A74E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B32FE" w:rsidRPr="009A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3B32FE" w:rsidRPr="009A74E9" w:rsidRDefault="003B32FE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Предложения и замечания к проекту НПА принимаются: </w:t>
            </w:r>
          </w:p>
          <w:p w:rsidR="00290891" w:rsidRPr="009A74E9" w:rsidRDefault="00290891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бумажных носителях – </w:t>
            </w:r>
            <w:r w:rsidR="003B32FE" w:rsidRPr="009A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адресу </w:t>
            </w:r>
            <w:r w:rsidRPr="009A74E9">
              <w:rPr>
                <w:rFonts w:ascii="Times New Roman" w:hAnsi="Times New Roman" w:cs="Times New Roman"/>
                <w:sz w:val="28"/>
                <w:szCs w:val="28"/>
              </w:rPr>
              <w:t>г. Хилок, ул. Ленина, 9, 3-ий этаж, кабинет № 3,</w:t>
            </w:r>
          </w:p>
          <w:p w:rsidR="003B32FE" w:rsidRPr="00210541" w:rsidRDefault="00290891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74E9"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электронном формате – на адрес электронной почты </w:t>
            </w:r>
            <w:r w:rsidRPr="009A74E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oksanastremilova</w:t>
            </w:r>
            <w:r w:rsidRPr="009A74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@</w:t>
            </w:r>
            <w:r w:rsidRPr="009A74E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9A74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9A74E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r w:rsidRPr="009A74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917C9" w:rsidRPr="00210541" w:rsidRDefault="00A917C9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6989" w:rsidRPr="00210541" w:rsidRDefault="00466989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6989" w:rsidRPr="00210541" w:rsidRDefault="00466989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D56361" w:rsidRPr="00210541" w:rsidRDefault="00D56361" w:rsidP="002105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56361" w:rsidRPr="00210541" w:rsidRDefault="00D56361" w:rsidP="00210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6361" w:rsidRPr="00210541" w:rsidRDefault="00D56361" w:rsidP="002105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56361" w:rsidRPr="00210541" w:rsidRDefault="00D56361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56361" w:rsidRPr="00210541" w:rsidRDefault="00D56361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56361" w:rsidRPr="00210541" w:rsidRDefault="00D56361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640DF" w:rsidRPr="00210541" w:rsidRDefault="000640DF" w:rsidP="00210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640DF" w:rsidRPr="00210541" w:rsidSect="004A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61"/>
    <w:rsid w:val="000445D3"/>
    <w:rsid w:val="000640DF"/>
    <w:rsid w:val="00092D3C"/>
    <w:rsid w:val="0011502D"/>
    <w:rsid w:val="0013316D"/>
    <w:rsid w:val="00140C8B"/>
    <w:rsid w:val="00207AE1"/>
    <w:rsid w:val="00210541"/>
    <w:rsid w:val="00290891"/>
    <w:rsid w:val="002C2446"/>
    <w:rsid w:val="002E3B0A"/>
    <w:rsid w:val="00302807"/>
    <w:rsid w:val="00356283"/>
    <w:rsid w:val="00377B82"/>
    <w:rsid w:val="003B32FE"/>
    <w:rsid w:val="00423E03"/>
    <w:rsid w:val="0046086E"/>
    <w:rsid w:val="00466989"/>
    <w:rsid w:val="004A1311"/>
    <w:rsid w:val="004B014A"/>
    <w:rsid w:val="005972C6"/>
    <w:rsid w:val="006D2739"/>
    <w:rsid w:val="006E6012"/>
    <w:rsid w:val="00710885"/>
    <w:rsid w:val="0073090C"/>
    <w:rsid w:val="00796A99"/>
    <w:rsid w:val="00813A1E"/>
    <w:rsid w:val="00836745"/>
    <w:rsid w:val="008777A2"/>
    <w:rsid w:val="008868E6"/>
    <w:rsid w:val="008E1A21"/>
    <w:rsid w:val="00923292"/>
    <w:rsid w:val="00941507"/>
    <w:rsid w:val="00951AC0"/>
    <w:rsid w:val="0096793B"/>
    <w:rsid w:val="00980002"/>
    <w:rsid w:val="009A74E9"/>
    <w:rsid w:val="009B3C84"/>
    <w:rsid w:val="009E53E9"/>
    <w:rsid w:val="00A26E8C"/>
    <w:rsid w:val="00A917C9"/>
    <w:rsid w:val="00B31E2D"/>
    <w:rsid w:val="00B53C09"/>
    <w:rsid w:val="00BC21C7"/>
    <w:rsid w:val="00C0555C"/>
    <w:rsid w:val="00C22FF8"/>
    <w:rsid w:val="00CA2241"/>
    <w:rsid w:val="00CC0269"/>
    <w:rsid w:val="00D12A67"/>
    <w:rsid w:val="00D31F97"/>
    <w:rsid w:val="00D47661"/>
    <w:rsid w:val="00D56361"/>
    <w:rsid w:val="00E91CFA"/>
    <w:rsid w:val="00ED0A99"/>
    <w:rsid w:val="00F41E21"/>
    <w:rsid w:val="00FC173D"/>
    <w:rsid w:val="00FC465C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01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0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admin-eco2</cp:lastModifiedBy>
  <cp:revision>9</cp:revision>
  <dcterms:created xsi:type="dcterms:W3CDTF">2023-11-30T00:09:00Z</dcterms:created>
  <dcterms:modified xsi:type="dcterms:W3CDTF">2024-12-24T23:47:00Z</dcterms:modified>
</cp:coreProperties>
</file>