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6" w:rsidRPr="0045096B" w:rsidRDefault="00FD78A3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Доклад об организации системы </w:t>
      </w:r>
    </w:p>
    <w:p w:rsidR="003432B6" w:rsidRPr="0045096B" w:rsidRDefault="00FD78A3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внутреннего обеспечения соответствия </w:t>
      </w:r>
    </w:p>
    <w:p w:rsidR="003432B6" w:rsidRPr="0045096B" w:rsidRDefault="00FD78A3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требованиям антимонопольного законодательства (</w:t>
      </w:r>
      <w:proofErr w:type="gramStart"/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антимонопольный</w:t>
      </w:r>
      <w:proofErr w:type="gramEnd"/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комплаенс) </w:t>
      </w:r>
    </w:p>
    <w:p w:rsidR="00FD78A3" w:rsidRPr="0045096B" w:rsidRDefault="00FD78A3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3432B6"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Администрации муниципального района «Хилокский район»</w:t>
      </w:r>
    </w:p>
    <w:p w:rsidR="00AC047C" w:rsidRPr="0045096B" w:rsidRDefault="00AC047C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202</w:t>
      </w:r>
      <w:r w:rsidR="0045096B"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4509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3432B6" w:rsidRPr="0045096B" w:rsidRDefault="003432B6" w:rsidP="00931963">
      <w:pPr>
        <w:spacing w:after="0"/>
        <w:ind w:left="448" w:right="44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78A3" w:rsidRPr="0045096B" w:rsidRDefault="00FD78A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</w:t>
      </w:r>
      <w:r w:rsidR="004C108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декабря 2017 года №</w:t>
      </w:r>
      <w:r w:rsidR="004C108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</w:t>
      </w:r>
      <w:r w:rsidR="004C108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по развитию конкуренции», </w:t>
      </w:r>
      <w:r w:rsidR="00AE711F" w:rsidRPr="0045096B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18 октября 2018 года № 2258-р «</w:t>
      </w:r>
      <w:r w:rsidR="00AE711F" w:rsidRPr="0045096B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AE711F" w:rsidRPr="0045096B">
        <w:rPr>
          <w:rFonts w:ascii="Times New Roman" w:hAnsi="Times New Roman" w:cs="Times New Roman"/>
          <w:sz w:val="28"/>
          <w:szCs w:val="28"/>
        </w:rPr>
        <w:t xml:space="preserve">» Администрацией муниципального района «Хилокский район» 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E711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1249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и утверждено </w:t>
      </w:r>
      <w:r w:rsidR="000E59D6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от </w:t>
      </w:r>
      <w:r w:rsidR="000E59D6" w:rsidRPr="0045096B">
        <w:rPr>
          <w:rFonts w:ascii="Times New Roman" w:hAnsi="Times New Roman" w:cs="Times New Roman"/>
          <w:sz w:val="28"/>
          <w:szCs w:val="28"/>
        </w:rPr>
        <w:t>04 апреля 2022 года</w:t>
      </w:r>
      <w:r w:rsidR="000E59D6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6" w:rsidRPr="0045096B">
        <w:rPr>
          <w:rFonts w:ascii="Times New Roman" w:hAnsi="Times New Roman" w:cs="Times New Roman"/>
          <w:sz w:val="28"/>
          <w:szCs w:val="28"/>
        </w:rPr>
        <w:t xml:space="preserve">№  209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района «Хилокский район» 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Положение).</w:t>
      </w:r>
    </w:p>
    <w:p w:rsidR="00FD78A3" w:rsidRPr="00A47BE6" w:rsidRDefault="00FD78A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рисков нарушения антимонопольного законодательства</w:t>
      </w:r>
      <w:r w:rsidR="007C1249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59D6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C1249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B13" w:rsidRPr="00A47BE6">
        <w:rPr>
          <w:rFonts w:ascii="Times New Roman" w:hAnsi="Times New Roman" w:cs="Times New Roman"/>
          <w:sz w:val="28"/>
          <w:szCs w:val="28"/>
        </w:rPr>
        <w:t>консультантом по юридическим вопросам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следующие мероприятия</w:t>
      </w:r>
      <w:r w:rsidR="007C1249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своей компетенции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8A3" w:rsidRPr="00A47BE6" w:rsidRDefault="00FD78A3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E70B5D" w:rsidRPr="00A47BE6">
        <w:rPr>
          <w:rFonts w:ascii="Times New Roman" w:hAnsi="Times New Roman" w:cs="Times New Roman"/>
          <w:sz w:val="28"/>
          <w:szCs w:val="28"/>
        </w:rPr>
        <w:t>Администрации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года (наличие предостережений, предупреждений, штрафов, жалоб, и т.д.).</w:t>
      </w:r>
      <w:r w:rsidR="00E70B5D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8A3" w:rsidRPr="00A47BE6" w:rsidRDefault="00FD78A3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нормативных правовых актов </w:t>
      </w:r>
      <w:r w:rsidR="00E70B5D" w:rsidRPr="00A47BE6">
        <w:rPr>
          <w:rFonts w:ascii="Times New Roman" w:hAnsi="Times New Roman" w:cs="Times New Roman"/>
          <w:sz w:val="28"/>
          <w:szCs w:val="28"/>
        </w:rPr>
        <w:t>Администрации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A3" w:rsidRPr="00A47BE6" w:rsidRDefault="00E70B5D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BE6">
        <w:rPr>
          <w:rFonts w:ascii="Times New Roman" w:hAnsi="Times New Roman" w:cs="Times New Roman"/>
          <w:sz w:val="28"/>
          <w:szCs w:val="28"/>
        </w:rPr>
        <w:t>нализ проектов нормативных правовых актов Администрации</w:t>
      </w:r>
      <w:r w:rsidR="00FD78A3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A3" w:rsidRPr="00A47BE6" w:rsidRDefault="00FD78A3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</w:t>
      </w:r>
      <w:r w:rsidR="00E70B5D" w:rsidRPr="00A47B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E70B5D" w:rsidRPr="00A47BE6" w:rsidRDefault="00E70B5D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систематической оценки эффективности разработанных мероприятий по снижению рисков нарушения антимонопольного законодательства.</w:t>
      </w:r>
    </w:p>
    <w:p w:rsidR="00FD78A3" w:rsidRPr="00A47BE6" w:rsidRDefault="00FD78A3" w:rsidP="00931963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бесед с</w:t>
      </w:r>
      <w:r w:rsidR="00E4755A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специалистами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5A" w:rsidRPr="00A47BE6">
        <w:rPr>
          <w:rFonts w:ascii="Times New Roman" w:hAnsi="Times New Roman" w:cs="Times New Roman"/>
          <w:sz w:val="28"/>
          <w:szCs w:val="28"/>
        </w:rPr>
        <w:t>Администрации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неукоснительном соблюдении антимонопольного законодательства.</w:t>
      </w:r>
    </w:p>
    <w:p w:rsidR="004566C1" w:rsidRPr="008743E4" w:rsidRDefault="00FD78A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259E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проведенного сбора и анализа информации о наличии нарушений антимонопольного законодательства в 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FA48D5" w:rsidRPr="0087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A259E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 три года</w:t>
      </w:r>
      <w:r w:rsidR="004D253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253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21784F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515" w:rsidRDefault="00173445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</w:t>
      </w:r>
      <w:r w:rsidR="003C1010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010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D253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C1010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D253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по Забайкальскому краю</w:t>
      </w:r>
      <w:r w:rsidR="003C1010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BE6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жалоба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Земельного кодекса при опубликовании информационного сообщения и продаже права аренды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нашли своего подтверждения, жало</w:t>
      </w:r>
      <w:r w:rsidR="004566C1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оставлена без удовлетворения;</w:t>
      </w:r>
    </w:p>
    <w:p w:rsidR="00C46022" w:rsidRDefault="00B45515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2024 г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УФАС по Забайкальскому краю вынесено постановление о привлечении к ответственности 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7.29 КоАП РФ за нарушение требований части 1 статьи 24 Федерального закона №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44-ФЗ. </w:t>
      </w:r>
      <w:r w:rsidR="000607C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пришло к выводу о том, что А</w:t>
      </w:r>
      <w:r w:rsidR="000607C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нарушен способ заключения контракта</w:t>
      </w:r>
      <w:r w:rsidR="004D48E8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автомобильного </w:t>
      </w:r>
      <w:r w:rsidR="004D48E8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моста </w:t>
      </w:r>
      <w:r w:rsidR="000607C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</w:t>
      </w:r>
      <w:r w:rsidR="000607C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в рамках действовавшего режима чрезвычайной ситуации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конкурентных процедур</w:t>
      </w:r>
      <w:r w:rsidR="000607C7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48E8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3E4" w:rsidRPr="0087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4E01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="002A4E01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="004D48E8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основанию </w:t>
      </w:r>
      <w:r w:rsidR="00C46022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Забайкальского края подано исковое заявление в Арбитражный суд Забайкальского края о признании недействительным  муниципального контракта на выполнение работ по ремонту автомобильного моста в связи с необоснованным применением  п. 9 ч. 1 ст. 93 Федерального закона №</w:t>
      </w:r>
      <w:r w:rsid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22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 w:rsidR="0021784F" w:rsidRPr="002A4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 находится на рассмотрении.</w:t>
      </w:r>
      <w:r w:rsidR="0021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835" w:rsidRPr="00A47BE6" w:rsidRDefault="007F7835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нормативных правовых актов и проектов нормативных правовых актов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FD78A3" w:rsidRPr="00A47BE6" w:rsidRDefault="00FD78A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</w:t>
      </w:r>
      <w:r w:rsidR="007F7835" w:rsidRPr="00A47B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 свидетельствуют о том, что в деятельности </w:t>
      </w:r>
      <w:r w:rsidR="007F7835" w:rsidRPr="00A47BE6">
        <w:rPr>
          <w:rFonts w:ascii="Times New Roman" w:hAnsi="Times New Roman" w:cs="Times New Roman"/>
          <w:sz w:val="28"/>
          <w:szCs w:val="28"/>
        </w:rPr>
        <w:t>Администрации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10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202</w:t>
      </w:r>
      <w:r w:rsidR="00217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010"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 факты нарушения антимонопольного законодательства.</w:t>
      </w:r>
    </w:p>
    <w:p w:rsidR="00AC047C" w:rsidRPr="00A47BE6" w:rsidRDefault="00AC047C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Намеченные </w:t>
      </w:r>
      <w:r w:rsidRPr="00A47BE6"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F06989" w:rsidRPr="00A47BE6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47BE6">
        <w:rPr>
          <w:rFonts w:ascii="Times New Roman" w:hAnsi="Times New Roman" w:cs="Times New Roman"/>
          <w:sz w:val="28"/>
          <w:szCs w:val="28"/>
        </w:rPr>
        <w:t>выполнены:</w:t>
      </w:r>
      <w:r w:rsidRPr="00A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05E" w:rsidRPr="0045096B" w:rsidRDefault="000F63DC" w:rsidP="00931963">
      <w:pPr>
        <w:pStyle w:val="a4"/>
        <w:numPr>
          <w:ilvl w:val="0"/>
          <w:numId w:val="8"/>
        </w:numPr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6">
        <w:rPr>
          <w:rFonts w:ascii="Times New Roman" w:hAnsi="Times New Roman" w:cs="Times New Roman"/>
          <w:sz w:val="28"/>
          <w:szCs w:val="28"/>
        </w:rPr>
        <w:t>Разработка проектов муниципальных нормативных правовых актов, муниципальных контрактов (договоров, соглашений) осуществля</w:t>
      </w:r>
      <w:r w:rsidR="00F06989" w:rsidRPr="00A47BE6">
        <w:rPr>
          <w:rFonts w:ascii="Times New Roman" w:hAnsi="Times New Roman" w:cs="Times New Roman"/>
          <w:sz w:val="28"/>
          <w:szCs w:val="28"/>
        </w:rPr>
        <w:t>лась</w:t>
      </w:r>
      <w:r w:rsidRPr="00A47BE6">
        <w:rPr>
          <w:rFonts w:ascii="Times New Roman" w:hAnsi="Times New Roman" w:cs="Times New Roman"/>
          <w:sz w:val="28"/>
          <w:szCs w:val="28"/>
        </w:rPr>
        <w:t xml:space="preserve"> с соблюдением установленного порядка согласования проектов муниципальных нормативных правовых актов, муниципальных контрактов (договоров, соглашений)</w:t>
      </w:r>
      <w:r w:rsidR="00FD705E" w:rsidRPr="00A47BE6">
        <w:rPr>
          <w:rFonts w:ascii="Times New Roman" w:hAnsi="Times New Roman" w:cs="Times New Roman"/>
          <w:sz w:val="28"/>
          <w:szCs w:val="28"/>
        </w:rPr>
        <w:t>.</w:t>
      </w:r>
      <w:r w:rsidRPr="00A47BE6">
        <w:rPr>
          <w:rFonts w:ascii="Times New Roman" w:hAnsi="Times New Roman" w:cs="Times New Roman"/>
          <w:sz w:val="28"/>
          <w:szCs w:val="28"/>
        </w:rPr>
        <w:t xml:space="preserve"> </w:t>
      </w:r>
      <w:r w:rsidR="00FD705E" w:rsidRPr="00A47BE6">
        <w:rPr>
          <w:rFonts w:ascii="Times New Roman" w:hAnsi="Times New Roman" w:cs="Times New Roman"/>
          <w:sz w:val="28"/>
          <w:szCs w:val="28"/>
        </w:rPr>
        <w:t>В</w:t>
      </w:r>
      <w:r w:rsidRPr="00A47BE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F06989" w:rsidRPr="00A47BE6">
        <w:rPr>
          <w:rFonts w:ascii="Times New Roman" w:hAnsi="Times New Roman" w:cs="Times New Roman"/>
          <w:sz w:val="28"/>
          <w:szCs w:val="28"/>
        </w:rPr>
        <w:t xml:space="preserve">100% </w:t>
      </w:r>
      <w:r w:rsidRPr="00A47BE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A1E25" w:rsidRPr="00A47B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BE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11B21" w:rsidRPr="00A47BE6">
        <w:rPr>
          <w:rFonts w:ascii="Times New Roman" w:hAnsi="Times New Roman" w:cs="Times New Roman"/>
          <w:sz w:val="28"/>
          <w:szCs w:val="28"/>
        </w:rPr>
        <w:t>пров</w:t>
      </w:r>
      <w:r w:rsidR="006435BF" w:rsidRPr="00A47BE6">
        <w:rPr>
          <w:rFonts w:ascii="Times New Roman" w:hAnsi="Times New Roman" w:cs="Times New Roman"/>
          <w:sz w:val="28"/>
          <w:szCs w:val="28"/>
        </w:rPr>
        <w:t xml:space="preserve">едена </w:t>
      </w:r>
      <w:r w:rsidRPr="00A47BE6">
        <w:rPr>
          <w:rFonts w:ascii="Times New Roman" w:hAnsi="Times New Roman" w:cs="Times New Roman"/>
          <w:sz w:val="28"/>
          <w:szCs w:val="28"/>
        </w:rPr>
        <w:t>правовая экспертиза</w:t>
      </w:r>
      <w:r w:rsidR="00FD705E" w:rsidRPr="00A47BE6">
        <w:rPr>
          <w:rFonts w:ascii="Times New Roman" w:hAnsi="Times New Roman" w:cs="Times New Roman"/>
          <w:sz w:val="28"/>
          <w:szCs w:val="28"/>
        </w:rPr>
        <w:t>.</w:t>
      </w:r>
      <w:r w:rsidRPr="00A47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05E" w:rsidRPr="00A47BE6">
        <w:rPr>
          <w:rFonts w:ascii="Times New Roman" w:hAnsi="Times New Roman" w:cs="Times New Roman"/>
          <w:sz w:val="28"/>
          <w:szCs w:val="28"/>
        </w:rPr>
        <w:t>В</w:t>
      </w:r>
      <w:r w:rsidRPr="00A47BE6">
        <w:rPr>
          <w:rFonts w:ascii="Times New Roman" w:hAnsi="Times New Roman" w:cs="Times New Roman"/>
          <w:sz w:val="28"/>
          <w:szCs w:val="28"/>
        </w:rPr>
        <w:t xml:space="preserve"> о</w:t>
      </w:r>
      <w:r w:rsidRPr="0045096B">
        <w:rPr>
          <w:rFonts w:ascii="Times New Roman" w:hAnsi="Times New Roman" w:cs="Times New Roman"/>
          <w:sz w:val="28"/>
          <w:szCs w:val="28"/>
        </w:rPr>
        <w:t>тношении</w:t>
      </w:r>
      <w:r w:rsidR="00FD705E" w:rsidRPr="0045096B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A1E25" w:rsidRPr="0045096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D705E" w:rsidRPr="0045096B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="00FF69D7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новые или изменяющих ранее предусмотренные </w:t>
      </w:r>
      <w:r w:rsidR="000A1E25" w:rsidRPr="0045096B">
        <w:rPr>
          <w:rFonts w:ascii="Times New Roman" w:hAnsi="Times New Roman" w:cs="Times New Roman"/>
          <w:sz w:val="28"/>
          <w:szCs w:val="28"/>
        </w:rPr>
        <w:t>муниципальными</w:t>
      </w:r>
      <w:r w:rsidR="000A1E25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D7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11B21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05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="00F06989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D705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оценки </w:t>
      </w:r>
      <w:r w:rsidR="00FD705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регулирующего воздействия</w:t>
      </w:r>
      <w:r w:rsidR="006435B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096B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5B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45096B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35B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705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1B21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B21" w:rsidRPr="0045096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A1E25" w:rsidRPr="0045096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11B21" w:rsidRPr="0045096B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="00311B21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деятельности, проводи</w:t>
      </w:r>
      <w:r w:rsidR="00F06989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311B21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="006435B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77DA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заключения</w:t>
      </w:r>
      <w:r w:rsidR="006435BF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1B21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B21" w:rsidRPr="0045096B">
        <w:rPr>
          <w:rFonts w:ascii="Times New Roman" w:hAnsi="Times New Roman" w:cs="Times New Roman"/>
          <w:sz w:val="28"/>
          <w:szCs w:val="28"/>
        </w:rPr>
        <w:t xml:space="preserve"> </w:t>
      </w:r>
      <w:r w:rsidR="00FD705E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6275" w:rsidRPr="001B207E" w:rsidRDefault="007C4C13" w:rsidP="00931963">
      <w:pPr>
        <w:pStyle w:val="a4"/>
        <w:numPr>
          <w:ilvl w:val="0"/>
          <w:numId w:val="8"/>
        </w:numPr>
        <w:tabs>
          <w:tab w:val="left" w:pos="993"/>
          <w:tab w:val="left" w:pos="1080"/>
        </w:tabs>
        <w:suppressAutoHyphens/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B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нарушения </w:t>
      </w:r>
      <w:r w:rsidRPr="001B207E">
        <w:rPr>
          <w:rFonts w:ascii="Times New Roman" w:hAnsi="Times New Roman" w:cs="Times New Roman"/>
          <w:sz w:val="28"/>
          <w:szCs w:val="28"/>
        </w:rPr>
        <w:t>антимонопольного законодательства при осуществлении закупок товаров, работ, услуг для обеспечения муниципальных нужд</w:t>
      </w:r>
      <w:r w:rsidR="00C0696D" w:rsidRPr="001B207E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546275" w:rsidRPr="001B207E">
        <w:rPr>
          <w:rFonts w:ascii="Times New Roman" w:hAnsi="Times New Roman" w:cs="Times New Roman"/>
          <w:sz w:val="28"/>
          <w:szCs w:val="28"/>
        </w:rPr>
        <w:t xml:space="preserve">о </w:t>
      </w:r>
      <w:r w:rsidR="00CD77DA" w:rsidRPr="001B207E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352BBE" w:rsidRPr="001B207E">
        <w:rPr>
          <w:rFonts w:ascii="Times New Roman" w:hAnsi="Times New Roman" w:cs="Times New Roman"/>
          <w:sz w:val="28"/>
          <w:szCs w:val="28"/>
        </w:rPr>
        <w:t xml:space="preserve"> </w:t>
      </w:r>
      <w:r w:rsidR="00C0696D" w:rsidRPr="001B207E">
        <w:rPr>
          <w:rFonts w:ascii="Times New Roman" w:hAnsi="Times New Roman" w:cs="Times New Roman"/>
          <w:sz w:val="28"/>
          <w:szCs w:val="28"/>
        </w:rPr>
        <w:t>сотрудников, ответственных за закупку товаров, работ, услуг для обеспечения муниципальных нужд, разработку проектов технических заданий к муниципальным контрактам</w:t>
      </w:r>
      <w:r w:rsidR="00C0696D" w:rsidRPr="001B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275" w:rsidRPr="001B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связанных с </w:t>
      </w:r>
      <w:r w:rsidR="00546275" w:rsidRPr="001B20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конфликтом интересов, в отчётном году не возникало.</w:t>
      </w:r>
    </w:p>
    <w:p w:rsidR="00546275" w:rsidRPr="00435794" w:rsidRDefault="00546275" w:rsidP="00931963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94">
        <w:rPr>
          <w:rFonts w:ascii="Times New Roman" w:hAnsi="Times New Roman" w:cs="Times New Roman"/>
          <w:sz w:val="28"/>
          <w:szCs w:val="28"/>
        </w:rPr>
        <w:t>Специалистами Администрации, ответственными за предоставление муниципальных услуг, проведён мониторинг наличия и актуальности административных регламентов и технологических схем их предоставления.</w:t>
      </w:r>
      <w:r w:rsidR="00EE5F89" w:rsidRPr="00435794">
        <w:rPr>
          <w:rFonts w:ascii="Times New Roman" w:hAnsi="Times New Roman" w:cs="Times New Roman"/>
          <w:sz w:val="28"/>
          <w:szCs w:val="28"/>
        </w:rPr>
        <w:t xml:space="preserve"> Разработка проектов административных регламентов осуществля</w:t>
      </w:r>
      <w:r w:rsidR="00352BBE" w:rsidRPr="00435794">
        <w:rPr>
          <w:rFonts w:ascii="Times New Roman" w:hAnsi="Times New Roman" w:cs="Times New Roman"/>
          <w:sz w:val="28"/>
          <w:szCs w:val="28"/>
        </w:rPr>
        <w:t>лась</w:t>
      </w:r>
      <w:r w:rsidR="00EE5F89" w:rsidRPr="0043579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Pr="00435794">
        <w:rPr>
          <w:rFonts w:ascii="Times New Roman" w:hAnsi="Times New Roman" w:cs="Times New Roman"/>
          <w:sz w:val="28"/>
          <w:szCs w:val="28"/>
        </w:rPr>
        <w:t>законодательства, муниципальных нор</w:t>
      </w:r>
      <w:r w:rsidR="00EE5F89" w:rsidRPr="00435794">
        <w:rPr>
          <w:rFonts w:ascii="Times New Roman" w:hAnsi="Times New Roman" w:cs="Times New Roman"/>
          <w:sz w:val="28"/>
          <w:szCs w:val="28"/>
        </w:rPr>
        <w:t xml:space="preserve">мативных правовых актов в части проведения </w:t>
      </w:r>
      <w:r w:rsidRPr="00435794">
        <w:rPr>
          <w:rFonts w:ascii="Times New Roman" w:hAnsi="Times New Roman" w:cs="Times New Roman"/>
          <w:sz w:val="28"/>
          <w:szCs w:val="28"/>
        </w:rPr>
        <w:t>анализа, правовой экспертизы, оценки регулирующего воздействия</w:t>
      </w:r>
      <w:r w:rsidR="00EE5F89" w:rsidRPr="00435794">
        <w:rPr>
          <w:rFonts w:ascii="Times New Roman" w:hAnsi="Times New Roman" w:cs="Times New Roman"/>
          <w:sz w:val="28"/>
          <w:szCs w:val="28"/>
        </w:rPr>
        <w:t>.</w:t>
      </w:r>
    </w:p>
    <w:p w:rsidR="00EE5F89" w:rsidRPr="00435794" w:rsidRDefault="00EE5F89" w:rsidP="00931963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94"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и земельным отношениям проведён анализ наличия, актуальности и соблюдения порядков и административных регламентов предоставления муниципального имущества (включая предоставление земельных участков)</w:t>
      </w:r>
      <w:r w:rsidR="00F06989" w:rsidRPr="00435794">
        <w:rPr>
          <w:rFonts w:ascii="Times New Roman" w:hAnsi="Times New Roman" w:cs="Times New Roman"/>
          <w:sz w:val="28"/>
          <w:szCs w:val="28"/>
        </w:rPr>
        <w:t>.</w:t>
      </w:r>
    </w:p>
    <w:p w:rsidR="00FD78A3" w:rsidRPr="00435794" w:rsidRDefault="00FD78A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показателями эффективности </w:t>
      </w:r>
      <w:proofErr w:type="gramStart"/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комплаенса для </w:t>
      </w:r>
      <w:r w:rsidR="007F7835" w:rsidRPr="00435794">
        <w:rPr>
          <w:rFonts w:ascii="Times New Roman" w:hAnsi="Times New Roman" w:cs="Times New Roman"/>
          <w:sz w:val="28"/>
          <w:szCs w:val="28"/>
        </w:rPr>
        <w:t>Администрации</w:t>
      </w:r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D78A3" w:rsidRPr="0062038E" w:rsidRDefault="00FD78A3" w:rsidP="00931963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0E788A" w:rsidRPr="0062038E">
        <w:rPr>
          <w:rFonts w:ascii="Times New Roman" w:hAnsi="Times New Roman" w:cs="Times New Roman"/>
          <w:sz w:val="28"/>
          <w:szCs w:val="28"/>
        </w:rPr>
        <w:t>Администрации</w:t>
      </w:r>
      <w:r w:rsidR="00F917D4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8A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 годом</w:t>
      </w:r>
      <w:r w:rsidR="00352BBE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2BBE" w:rsidRPr="0062038E">
        <w:rPr>
          <w:rFonts w:ascii="Times New Roman" w:hAnsi="Times New Roman" w:cs="Times New Roman"/>
          <w:bCs/>
          <w:sz w:val="28"/>
          <w:szCs w:val="28"/>
        </w:rPr>
        <w:t>КСН)</w:t>
      </w:r>
      <w:r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BBE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E4" w:rsidRPr="0062038E">
        <w:rPr>
          <w:rFonts w:ascii="Times New Roman" w:hAnsi="Times New Roman" w:cs="Times New Roman"/>
          <w:sz w:val="28"/>
          <w:szCs w:val="28"/>
        </w:rPr>
        <w:t>Значение показателя в отчётном периоде равно</w:t>
      </w:r>
      <w:r w:rsidR="00BA6FE4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794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FE4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6FE4" w:rsidRPr="0062038E">
        <w:rPr>
          <w:rFonts w:ascii="Times New Roman" w:hAnsi="Times New Roman" w:cs="Times New Roman"/>
          <w:sz w:val="28"/>
          <w:szCs w:val="28"/>
        </w:rPr>
        <w:t>в отчётном периоде отсутствовали нарушения антимонопольного законодательства).</w:t>
      </w:r>
      <w:r w:rsidR="00352BBE" w:rsidRPr="0062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8A3" w:rsidRPr="00435794" w:rsidRDefault="00FD78A3" w:rsidP="00931963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проектов нормативных правовых актов</w:t>
      </w:r>
      <w:r w:rsidR="00C0004A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4A" w:rsidRPr="00435794">
        <w:rPr>
          <w:rFonts w:ascii="Times New Roman" w:hAnsi="Times New Roman" w:cs="Times New Roman"/>
          <w:sz w:val="28"/>
          <w:szCs w:val="28"/>
        </w:rPr>
        <w:t>Администрации</w:t>
      </w:r>
      <w:r w:rsidR="00E67EC3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выявлены риски нарушения антимонопольного законодательства</w:t>
      </w:r>
      <w:r w:rsidR="00EE0C4D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7EF8" w:rsidRPr="00435794">
        <w:rPr>
          <w:rFonts w:ascii="Times New Roman" w:hAnsi="Times New Roman" w:cs="Times New Roman"/>
          <w:bCs/>
          <w:sz w:val="28"/>
          <w:szCs w:val="28"/>
        </w:rPr>
        <w:t>Д</w:t>
      </w:r>
      <w:r w:rsidR="006E7EF8" w:rsidRPr="00435794">
        <w:rPr>
          <w:rFonts w:ascii="Times New Roman" w:hAnsi="Times New Roman" w:cs="Times New Roman"/>
          <w:bCs/>
          <w:sz w:val="28"/>
          <w:szCs w:val="28"/>
          <w:vertAlign w:val="subscript"/>
        </w:rPr>
        <w:t>ПНПА</w:t>
      </w:r>
      <w:r w:rsidR="006E7EF8" w:rsidRPr="00435794">
        <w:rPr>
          <w:rFonts w:ascii="Times New Roman" w:hAnsi="Times New Roman" w:cs="Times New Roman"/>
          <w:bCs/>
          <w:sz w:val="28"/>
          <w:szCs w:val="28"/>
        </w:rPr>
        <w:t>)</w:t>
      </w:r>
      <w:r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EF8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E4" w:rsidRPr="00435794">
        <w:rPr>
          <w:rFonts w:ascii="Times New Roman" w:hAnsi="Times New Roman" w:cs="Times New Roman"/>
          <w:sz w:val="28"/>
          <w:szCs w:val="28"/>
        </w:rPr>
        <w:t>Значение показателя в отчётном периоде равно</w:t>
      </w:r>
      <w:r w:rsidR="00BA6FE4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FE4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отчётном периоде </w:t>
      </w:r>
      <w:r w:rsidR="00BA6FE4" w:rsidRPr="00435794">
        <w:rPr>
          <w:rFonts w:ascii="Times New Roman" w:hAnsi="Times New Roman" w:cs="Times New Roman"/>
          <w:sz w:val="28"/>
          <w:szCs w:val="28"/>
        </w:rPr>
        <w:t>отсутствовали нормативные правовые акты, в которых антимонопольных органом выявлены нарушения антимонопольного законодательства).</w:t>
      </w:r>
      <w:r w:rsidR="006E7EF8" w:rsidRPr="00435794">
        <w:rPr>
          <w:rFonts w:ascii="Times New Roman" w:hAnsi="Times New Roman" w:cs="Times New Roman"/>
          <w:sz w:val="28"/>
          <w:szCs w:val="28"/>
        </w:rPr>
        <w:t xml:space="preserve">  </w:t>
      </w:r>
      <w:r w:rsidR="006E7EF8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04A" w:rsidRPr="00435794" w:rsidRDefault="00C0004A" w:rsidP="00931963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94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</w:t>
      </w:r>
      <w:r w:rsidR="00227F97" w:rsidRPr="00435794">
        <w:rPr>
          <w:rFonts w:ascii="Times New Roman" w:hAnsi="Times New Roman" w:cs="Times New Roman"/>
          <w:sz w:val="28"/>
          <w:szCs w:val="28"/>
        </w:rPr>
        <w:t xml:space="preserve"> (Д</w:t>
      </w:r>
      <w:r w:rsidR="00227F97" w:rsidRPr="00435794">
        <w:rPr>
          <w:rFonts w:ascii="Times New Roman" w:hAnsi="Times New Roman" w:cs="Times New Roman"/>
          <w:sz w:val="28"/>
          <w:szCs w:val="28"/>
          <w:vertAlign w:val="subscript"/>
        </w:rPr>
        <w:t>НПА</w:t>
      </w:r>
      <w:r w:rsidR="00227F97" w:rsidRPr="00435794">
        <w:rPr>
          <w:rFonts w:ascii="Times New Roman" w:hAnsi="Times New Roman" w:cs="Times New Roman"/>
          <w:sz w:val="28"/>
          <w:szCs w:val="28"/>
        </w:rPr>
        <w:t>)</w:t>
      </w:r>
      <w:r w:rsidRPr="00435794">
        <w:rPr>
          <w:rFonts w:ascii="Times New Roman" w:hAnsi="Times New Roman" w:cs="Times New Roman"/>
          <w:sz w:val="28"/>
          <w:szCs w:val="28"/>
        </w:rPr>
        <w:t>.</w:t>
      </w:r>
      <w:r w:rsidR="00227F97" w:rsidRPr="00435794">
        <w:rPr>
          <w:rFonts w:ascii="Times New Roman" w:hAnsi="Times New Roman" w:cs="Times New Roman"/>
          <w:sz w:val="28"/>
          <w:szCs w:val="28"/>
        </w:rPr>
        <w:t xml:space="preserve"> </w:t>
      </w:r>
      <w:r w:rsidR="00BA6FE4" w:rsidRPr="00435794">
        <w:rPr>
          <w:rFonts w:ascii="Times New Roman" w:hAnsi="Times New Roman" w:cs="Times New Roman"/>
          <w:sz w:val="28"/>
          <w:szCs w:val="28"/>
        </w:rPr>
        <w:t>Значение показателя в отчётном периоде равно</w:t>
      </w:r>
      <w:r w:rsidR="00BA6FE4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FE4" w:rsidRPr="004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отчётном периоде </w:t>
      </w:r>
      <w:r w:rsidR="00BA6FE4" w:rsidRPr="00435794">
        <w:rPr>
          <w:rFonts w:ascii="Times New Roman" w:hAnsi="Times New Roman" w:cs="Times New Roman"/>
          <w:sz w:val="28"/>
          <w:szCs w:val="28"/>
        </w:rPr>
        <w:t>отсутствовали нормативные правовые акты, в которых антимонопольных органом выявлены нарушения антимонопольного законодательства).</w:t>
      </w:r>
    </w:p>
    <w:p w:rsidR="00E740A5" w:rsidRPr="0062038E" w:rsidRDefault="00E740A5" w:rsidP="00931963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2038E">
        <w:rPr>
          <w:rFonts w:ascii="Times New Roman" w:hAnsi="Times New Roman" w:cs="Times New Roman"/>
          <w:sz w:val="28"/>
          <w:szCs w:val="28"/>
        </w:rPr>
        <w:lastRenderedPageBreak/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</w:t>
      </w:r>
      <w:r w:rsidR="00227F97" w:rsidRPr="0062038E">
        <w:rPr>
          <w:rFonts w:ascii="Times New Roman" w:hAnsi="Times New Roman" w:cs="Times New Roman"/>
          <w:sz w:val="28"/>
          <w:szCs w:val="28"/>
        </w:rPr>
        <w:t xml:space="preserve"> (ДСо)</w:t>
      </w:r>
      <w:r w:rsidRPr="0062038E">
        <w:rPr>
          <w:rFonts w:ascii="Times New Roman" w:hAnsi="Times New Roman" w:cs="Times New Roman"/>
          <w:sz w:val="28"/>
          <w:szCs w:val="28"/>
        </w:rPr>
        <w:t>.</w:t>
      </w:r>
      <w:r w:rsidR="00967D00" w:rsidRPr="0062038E">
        <w:rPr>
          <w:rFonts w:ascii="Times New Roman" w:hAnsi="Times New Roman" w:cs="Times New Roman"/>
          <w:sz w:val="28"/>
          <w:szCs w:val="28"/>
        </w:rPr>
        <w:t xml:space="preserve"> Значение показателя в отчётном периоде равно 1.</w:t>
      </w:r>
    </w:p>
    <w:p w:rsidR="003432B6" w:rsidRPr="0045096B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1963" w:rsidRPr="0045096B" w:rsidRDefault="00931963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73252" w:rsidRPr="0045096B" w:rsidRDefault="0045096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по юридическим вопросам  </w:t>
      </w:r>
      <w:r w:rsidR="00473252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_  Михайлова О.Н.</w:t>
      </w:r>
    </w:p>
    <w:p w:rsidR="00473252" w:rsidRPr="0045096B" w:rsidRDefault="0045096B" w:rsidP="0093196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>Н</w:t>
      </w:r>
      <w:r w:rsidR="00473252" w:rsidRPr="0045096B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</w:p>
    <w:p w:rsidR="00473252" w:rsidRPr="0045096B" w:rsidRDefault="00473252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hAnsi="Times New Roman" w:cs="Times New Roman"/>
          <w:sz w:val="28"/>
          <w:szCs w:val="28"/>
        </w:rPr>
        <w:t>и земельным отношениям</w:t>
      </w:r>
      <w:r w:rsidRPr="0045096B">
        <w:rPr>
          <w:rFonts w:ascii="Times New Roman" w:hAnsi="Times New Roman" w:cs="Times New Roman"/>
          <w:sz w:val="28"/>
          <w:szCs w:val="28"/>
        </w:rPr>
        <w:tab/>
      </w:r>
      <w:r w:rsidRPr="0045096B">
        <w:rPr>
          <w:rFonts w:ascii="Times New Roman" w:hAnsi="Times New Roman" w:cs="Times New Roman"/>
          <w:sz w:val="28"/>
          <w:szCs w:val="28"/>
        </w:rPr>
        <w:tab/>
      </w:r>
      <w:r w:rsidR="0045096B" w:rsidRPr="0045096B">
        <w:rPr>
          <w:rFonts w:ascii="Times New Roman" w:hAnsi="Times New Roman" w:cs="Times New Roman"/>
          <w:sz w:val="28"/>
          <w:szCs w:val="28"/>
        </w:rPr>
        <w:t xml:space="preserve">       </w:t>
      </w:r>
      <w:r w:rsidR="0045096B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Некрасов Ю.А.</w:t>
      </w:r>
    </w:p>
    <w:p w:rsidR="0045096B" w:rsidRPr="0045096B" w:rsidRDefault="0045096B" w:rsidP="0093196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73252" w:rsidRPr="0045096B" w:rsidRDefault="0045096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hAnsi="Times New Roman" w:cs="Times New Roman"/>
          <w:sz w:val="28"/>
          <w:szCs w:val="28"/>
        </w:rPr>
        <w:t xml:space="preserve">территориального развития                     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473252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252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ворская Е.С.</w:t>
      </w:r>
    </w:p>
    <w:p w:rsidR="00FD481B" w:rsidRPr="0045096B" w:rsidRDefault="00FD481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481B" w:rsidRPr="0045096B" w:rsidRDefault="00FD481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FD481B" w:rsidRPr="0045096B" w:rsidRDefault="00FD481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FD481B" w:rsidRPr="00473252" w:rsidRDefault="00FD481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хозяйства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096B"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   </w:t>
      </w:r>
      <w:r w:rsidRPr="00450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Стремилова О.А.</w:t>
      </w:r>
    </w:p>
    <w:p w:rsidR="00FD481B" w:rsidRPr="00473252" w:rsidRDefault="00FD481B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Pr="00473252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B6" w:rsidRDefault="003432B6" w:rsidP="0093196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A1C"/>
    <w:multiLevelType w:val="hybridMultilevel"/>
    <w:tmpl w:val="A34AB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67090D"/>
    <w:multiLevelType w:val="multilevel"/>
    <w:tmpl w:val="440E3E96"/>
    <w:lvl w:ilvl="0">
      <w:start w:val="3"/>
      <w:numFmt w:val="decimal"/>
      <w:suff w:val="space"/>
      <w:lvlText w:val="%1."/>
      <w:lvlJc w:val="left"/>
      <w:pPr>
        <w:ind w:left="1778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2701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46E6F23"/>
    <w:multiLevelType w:val="hybridMultilevel"/>
    <w:tmpl w:val="CF9C11EE"/>
    <w:lvl w:ilvl="0" w:tplc="36ACD5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390"/>
    <w:multiLevelType w:val="hybridMultilevel"/>
    <w:tmpl w:val="4A94A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276C0C"/>
    <w:multiLevelType w:val="hybridMultilevel"/>
    <w:tmpl w:val="FF224A1E"/>
    <w:lvl w:ilvl="0" w:tplc="75D4E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A50D9E"/>
    <w:multiLevelType w:val="hybridMultilevel"/>
    <w:tmpl w:val="4D44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409EC"/>
    <w:multiLevelType w:val="hybridMultilevel"/>
    <w:tmpl w:val="539C0A40"/>
    <w:lvl w:ilvl="0" w:tplc="026EB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876160"/>
    <w:multiLevelType w:val="hybridMultilevel"/>
    <w:tmpl w:val="524817B2"/>
    <w:lvl w:ilvl="0" w:tplc="4768F2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DB"/>
    <w:rsid w:val="000607C7"/>
    <w:rsid w:val="000A1E25"/>
    <w:rsid w:val="000A6B13"/>
    <w:rsid w:val="000E59D6"/>
    <w:rsid w:val="000E788A"/>
    <w:rsid w:val="000F63DC"/>
    <w:rsid w:val="00173445"/>
    <w:rsid w:val="001B207E"/>
    <w:rsid w:val="0021784F"/>
    <w:rsid w:val="00227F97"/>
    <w:rsid w:val="002A4E01"/>
    <w:rsid w:val="00311B21"/>
    <w:rsid w:val="003432B6"/>
    <w:rsid w:val="00352BBE"/>
    <w:rsid w:val="003C1010"/>
    <w:rsid w:val="00435794"/>
    <w:rsid w:val="0045096B"/>
    <w:rsid w:val="004566C1"/>
    <w:rsid w:val="00463E03"/>
    <w:rsid w:val="00473252"/>
    <w:rsid w:val="004C108E"/>
    <w:rsid w:val="004D2537"/>
    <w:rsid w:val="004D48E8"/>
    <w:rsid w:val="004E40E9"/>
    <w:rsid w:val="00546275"/>
    <w:rsid w:val="005A259E"/>
    <w:rsid w:val="005C60CF"/>
    <w:rsid w:val="0062038E"/>
    <w:rsid w:val="006435BF"/>
    <w:rsid w:val="00653701"/>
    <w:rsid w:val="006E7EF8"/>
    <w:rsid w:val="007C1249"/>
    <w:rsid w:val="007C4C13"/>
    <w:rsid w:val="007F7835"/>
    <w:rsid w:val="008743E4"/>
    <w:rsid w:val="00876093"/>
    <w:rsid w:val="008C1425"/>
    <w:rsid w:val="00931963"/>
    <w:rsid w:val="00967D00"/>
    <w:rsid w:val="00A47BE6"/>
    <w:rsid w:val="00A538A9"/>
    <w:rsid w:val="00AB6C28"/>
    <w:rsid w:val="00AC047C"/>
    <w:rsid w:val="00AE711F"/>
    <w:rsid w:val="00B0349D"/>
    <w:rsid w:val="00B45515"/>
    <w:rsid w:val="00B45CDB"/>
    <w:rsid w:val="00BA6FE4"/>
    <w:rsid w:val="00C0004A"/>
    <w:rsid w:val="00C0696D"/>
    <w:rsid w:val="00C1250A"/>
    <w:rsid w:val="00C46022"/>
    <w:rsid w:val="00CD77DA"/>
    <w:rsid w:val="00D73853"/>
    <w:rsid w:val="00DA6444"/>
    <w:rsid w:val="00E05B3F"/>
    <w:rsid w:val="00E4755A"/>
    <w:rsid w:val="00E67EC3"/>
    <w:rsid w:val="00E70B5D"/>
    <w:rsid w:val="00E740A5"/>
    <w:rsid w:val="00EE0C4D"/>
    <w:rsid w:val="00EE5F89"/>
    <w:rsid w:val="00F06989"/>
    <w:rsid w:val="00F917D4"/>
    <w:rsid w:val="00FA27C6"/>
    <w:rsid w:val="00FA48D5"/>
    <w:rsid w:val="00FD481B"/>
    <w:rsid w:val="00FD705E"/>
    <w:rsid w:val="00FD78A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70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70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Берсенев</dc:creator>
  <cp:lastModifiedBy>admin-eco2</cp:lastModifiedBy>
  <cp:revision>49</cp:revision>
  <cp:lastPrinted>2024-02-26T04:42:00Z</cp:lastPrinted>
  <dcterms:created xsi:type="dcterms:W3CDTF">2023-03-20T22:55:00Z</dcterms:created>
  <dcterms:modified xsi:type="dcterms:W3CDTF">2025-06-22T23:37:00Z</dcterms:modified>
</cp:coreProperties>
</file>