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061" w:rsidRPr="00935061" w:rsidRDefault="00935061" w:rsidP="0093506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3506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 Трудовом кодексе РФ установлены новые правила премирования и </w:t>
      </w:r>
      <w:proofErr w:type="spellStart"/>
      <w:r w:rsidRPr="00935061">
        <w:rPr>
          <w:rFonts w:ascii="Times New Roman" w:hAnsi="Times New Roman" w:cs="Times New Roman"/>
          <w:b/>
          <w:sz w:val="28"/>
          <w:szCs w:val="28"/>
          <w:lang w:eastAsia="ru-RU"/>
        </w:rPr>
        <w:t>депремирования</w:t>
      </w:r>
      <w:proofErr w:type="spellEnd"/>
      <w:r w:rsidRPr="0093506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работников</w:t>
      </w:r>
    </w:p>
    <w:p w:rsidR="00A25628" w:rsidRDefault="00935061"/>
    <w:p w:rsidR="00935061" w:rsidRPr="00935061" w:rsidRDefault="00935061" w:rsidP="00935061">
      <w:pPr>
        <w:tabs>
          <w:tab w:val="left" w:pos="9356"/>
        </w:tabs>
        <w:spacing w:before="105" w:after="105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935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Президент РФ подписал закон, согласно которому с 1 сентября 2025 года в ТК РФ уточняется порядок премирования работников. Изменения в </w:t>
      </w:r>
      <w:hyperlink r:id="rId6" w:tgtFrame="_top" w:history="1">
        <w:r w:rsidRPr="00935061">
          <w:rPr>
            <w:rFonts w:ascii="Times New Roman" w:eastAsia="Times New Roman" w:hAnsi="Times New Roman" w:cs="Times New Roman"/>
            <w:color w:val="16489B"/>
            <w:sz w:val="28"/>
            <w:szCs w:val="28"/>
            <w:lang w:eastAsia="ru-RU"/>
          </w:rPr>
          <w:t>статью 135 ТК РФ</w:t>
        </w:r>
      </w:hyperlink>
      <w:r w:rsidRPr="00935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внесены во исполнение постановления Конституционного Суда РФ </w:t>
      </w:r>
      <w:hyperlink r:id="rId7" w:tgtFrame="_top" w:history="1">
        <w:r w:rsidRPr="00935061">
          <w:rPr>
            <w:rFonts w:ascii="Times New Roman" w:eastAsia="Times New Roman" w:hAnsi="Times New Roman" w:cs="Times New Roman"/>
            <w:color w:val="16489B"/>
            <w:sz w:val="28"/>
            <w:szCs w:val="28"/>
            <w:lang w:eastAsia="ru-RU"/>
          </w:rPr>
          <w:t>от 15.06.2023 № 32-П</w:t>
        </w:r>
      </w:hyperlink>
      <w:r w:rsidRPr="00935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935061" w:rsidRPr="00935061" w:rsidRDefault="00935061" w:rsidP="00935061">
      <w:pPr>
        <w:tabs>
          <w:tab w:val="left" w:pos="9355"/>
        </w:tabs>
        <w:spacing w:before="105" w:after="105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935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действующим нормам работодатели вправе поощрять работников различными стимулирующими выплатами, которые являются частью их заработной платы. К таким выплатам относятся доплаты и надбавки стимулирующего характера, премии и другие поощрительные выплаты (</w:t>
      </w:r>
      <w:hyperlink r:id="rId8" w:tgtFrame="_top" w:history="1">
        <w:r w:rsidRPr="00935061">
          <w:rPr>
            <w:rFonts w:ascii="Times New Roman" w:eastAsia="Times New Roman" w:hAnsi="Times New Roman" w:cs="Times New Roman"/>
            <w:color w:val="16489B"/>
            <w:sz w:val="28"/>
            <w:szCs w:val="28"/>
            <w:lang w:eastAsia="ru-RU"/>
          </w:rPr>
          <w:t>ч. 1 ст. 129 ТК РФ</w:t>
        </w:r>
      </w:hyperlink>
      <w:r w:rsidRPr="00935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Системы доплат и надбавок стимулирующего характера и системы премирования устанавливаются коллективными договорами, соглашениями, локальными нормативными актами (</w:t>
      </w:r>
      <w:hyperlink r:id="rId9" w:tgtFrame="_top" w:history="1">
        <w:r w:rsidRPr="00935061">
          <w:rPr>
            <w:rFonts w:ascii="Times New Roman" w:eastAsia="Times New Roman" w:hAnsi="Times New Roman" w:cs="Times New Roman"/>
            <w:color w:val="16489B"/>
            <w:sz w:val="28"/>
            <w:szCs w:val="28"/>
            <w:lang w:eastAsia="ru-RU"/>
          </w:rPr>
          <w:t>ч. 2 ст. 135 ТК РФ</w:t>
        </w:r>
      </w:hyperlink>
      <w:r w:rsidRPr="00935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Другими словами, работодатели самостоятельно решают вопросы материального стимулирования сотрудников.</w:t>
      </w:r>
    </w:p>
    <w:p w:rsidR="00935061" w:rsidRPr="00935061" w:rsidRDefault="00935061" w:rsidP="00935061">
      <w:pPr>
        <w:tabs>
          <w:tab w:val="left" w:pos="9355"/>
        </w:tabs>
        <w:spacing w:before="105" w:after="105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935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этом в Трудовом кодексе РФ не были указаны условия, которые должны быть отражены в документах работодателя, регулирующих порядок премирования работников. Кроме того, не были решены вопросы, связанные с лишением сотрудников стимулирующих выплат и уменьшением их размера (например, при наличии у работника дисциплинарного взыскания). В связи с отсутствием правого регулирования велись споры о </w:t>
      </w:r>
      <w:proofErr w:type="spellStart"/>
      <w:r w:rsidRPr="00935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депремировании</w:t>
      </w:r>
      <w:proofErr w:type="spellEnd"/>
      <w:r w:rsidRPr="00935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наличии дисциплинарного взыскания.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935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Например, работодатели иногда устанавливали в своих локальных нормативных актах (например, в Положении об оплате труда или в Положении о премировании) условие о </w:t>
      </w:r>
      <w:proofErr w:type="spellStart"/>
      <w:r w:rsidRPr="00935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депремировании</w:t>
      </w:r>
      <w:proofErr w:type="spellEnd"/>
      <w:r w:rsidRPr="00935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длительного периода времени (например, в течение всего срока действия дисциплинарного взыскания). Однако такое условие признавалось судами незаконным, поскольку нарушает права работников (см. определения Первого КСОЮ от 17.01.2023 № 88-1720/2023, Шестого КСОЮ от 02.09.2021 № 88-16976/2021, 88-18892/2021, апелляционное определение Верховного Суда Удмуртской Республики от 26.05.2021 № 33-1754/2021).</w:t>
      </w:r>
    </w:p>
    <w:p w:rsidR="00935061" w:rsidRPr="00935061" w:rsidRDefault="00935061" w:rsidP="00935061">
      <w:pPr>
        <w:tabs>
          <w:tab w:val="left" w:pos="9355"/>
        </w:tabs>
        <w:spacing w:before="105" w:after="105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935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Законодатели дополнили </w:t>
      </w:r>
      <w:hyperlink r:id="rId10" w:tgtFrame="_top" w:history="1">
        <w:r w:rsidRPr="00935061">
          <w:rPr>
            <w:rFonts w:ascii="Times New Roman" w:eastAsia="Times New Roman" w:hAnsi="Times New Roman" w:cs="Times New Roman"/>
            <w:color w:val="16489B"/>
            <w:sz w:val="28"/>
            <w:szCs w:val="28"/>
            <w:lang w:eastAsia="ru-RU"/>
          </w:rPr>
          <w:t>статью 135 ТК РФ</w:t>
        </w:r>
      </w:hyperlink>
      <w:r w:rsidRPr="00935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новой нормой, которая уточняет порядок премирования работников. Согласно </w:t>
      </w:r>
      <w:hyperlink r:id="rId11" w:tgtFrame="_top" w:history="1">
        <w:r w:rsidRPr="00935061">
          <w:rPr>
            <w:rFonts w:ascii="Times New Roman" w:eastAsia="Times New Roman" w:hAnsi="Times New Roman" w:cs="Times New Roman"/>
            <w:color w:val="16489B"/>
            <w:sz w:val="28"/>
            <w:szCs w:val="28"/>
            <w:lang w:eastAsia="ru-RU"/>
          </w:rPr>
          <w:t>ч. 3 ст. 135 ТК РФ</w:t>
        </w:r>
      </w:hyperlink>
      <w:r w:rsidRPr="00935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 введении системы премирования в коллективных договорах, соглашениях и локальных нормативных актах работодатели должны определять:</w:t>
      </w:r>
    </w:p>
    <w:p w:rsidR="00935061" w:rsidRPr="00935061" w:rsidRDefault="00935061" w:rsidP="00935061">
      <w:pPr>
        <w:numPr>
          <w:ilvl w:val="0"/>
          <w:numId w:val="1"/>
        </w:numPr>
        <w:tabs>
          <w:tab w:val="left" w:pos="9355"/>
        </w:tabs>
        <w:spacing w:before="100" w:beforeAutospacing="1" w:after="100" w:afterAutospacing="1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5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виды премий и их размеры,</w:t>
      </w:r>
    </w:p>
    <w:p w:rsidR="00935061" w:rsidRPr="00935061" w:rsidRDefault="00935061" w:rsidP="00935061">
      <w:pPr>
        <w:numPr>
          <w:ilvl w:val="0"/>
          <w:numId w:val="1"/>
        </w:numPr>
        <w:tabs>
          <w:tab w:val="left" w:pos="9355"/>
        </w:tabs>
        <w:spacing w:before="100" w:beforeAutospacing="1" w:after="100" w:afterAutospacing="1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5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сроки выплаты премий,</w:t>
      </w:r>
    </w:p>
    <w:p w:rsidR="00935061" w:rsidRPr="00935061" w:rsidRDefault="00935061" w:rsidP="00935061">
      <w:pPr>
        <w:numPr>
          <w:ilvl w:val="0"/>
          <w:numId w:val="1"/>
        </w:numPr>
        <w:tabs>
          <w:tab w:val="left" w:pos="9355"/>
        </w:tabs>
        <w:spacing w:before="100" w:beforeAutospacing="1" w:after="100" w:afterAutospacing="1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5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основания и условия выплаты премий работникам, в том числе с учетом качества, эффективности и продолжительности работы, наличия или отсутствия у работника дисциплинарного взыскания и других условий.</w:t>
      </w:r>
    </w:p>
    <w:p w:rsidR="00935061" w:rsidRPr="00935061" w:rsidRDefault="00935061" w:rsidP="00935061">
      <w:pPr>
        <w:tabs>
          <w:tab w:val="left" w:pos="9355"/>
        </w:tabs>
        <w:spacing w:before="105" w:after="105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5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касается снижения размера премий, входящих в состав заработной платы, в связи с наличием у работника дисциплинарного взыскания, предусмотрены следующие правила:</w:t>
      </w:r>
    </w:p>
    <w:p w:rsidR="00935061" w:rsidRPr="00935061" w:rsidRDefault="00935061" w:rsidP="00935061">
      <w:pPr>
        <w:numPr>
          <w:ilvl w:val="0"/>
          <w:numId w:val="2"/>
        </w:numPr>
        <w:tabs>
          <w:tab w:val="left" w:pos="9355"/>
        </w:tabs>
        <w:spacing w:before="100" w:beforeAutospacing="1" w:after="100" w:afterAutospacing="1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5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уменьшить только премию, начисленную за период, когда к работнику было применено взыскание,</w:t>
      </w:r>
    </w:p>
    <w:p w:rsidR="00935061" w:rsidRPr="00935061" w:rsidRDefault="00935061" w:rsidP="00935061">
      <w:pPr>
        <w:numPr>
          <w:ilvl w:val="0"/>
          <w:numId w:val="2"/>
        </w:numPr>
        <w:tabs>
          <w:tab w:val="left" w:pos="9355"/>
        </w:tabs>
        <w:spacing w:before="100" w:beforeAutospacing="1" w:after="100" w:afterAutospacing="1"/>
        <w:ind w:left="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5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снижении премии размер месячной заработной платы сотрудника не должен уменьшаться более чем на 20 %.</w:t>
      </w:r>
    </w:p>
    <w:p w:rsidR="00935061" w:rsidRPr="00935061" w:rsidRDefault="00935061" w:rsidP="00935061">
      <w:pPr>
        <w:tabs>
          <w:tab w:val="left" w:pos="9355"/>
        </w:tabs>
        <w:spacing w:before="105" w:after="105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935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при определении системы премирования работодатели должны учитывать новые нормы. При этом работодатели вправе </w:t>
      </w:r>
      <w:proofErr w:type="spellStart"/>
      <w:r w:rsidRPr="00935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депремировать</w:t>
      </w:r>
      <w:proofErr w:type="spellEnd"/>
      <w:r w:rsidRPr="00935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работников только по основаниям, установленным в коллективном договоре, соглашениях или в локальных нормативных актах.</w:t>
      </w:r>
    </w:p>
    <w:p w:rsidR="00935061" w:rsidRPr="00935061" w:rsidRDefault="00935061" w:rsidP="00935061">
      <w:pPr>
        <w:tabs>
          <w:tab w:val="left" w:pos="9355"/>
        </w:tabs>
        <w:spacing w:before="105" w:after="105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bookmarkStart w:id="0" w:name="_GoBack"/>
      <w:bookmarkEnd w:id="0"/>
      <w:r w:rsidRPr="00935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изменениями в трудовом законодательстве работодателям следует проверить коллективные договоры, соглашения и локальные нормативные акты на предмет противоречия новым правилам премирования работников. Например, если в ЛНА указано, что работодатель снижает размер премии или лишает работника премии в течение всего срока действия дисциплинарного взыскания, это не соответствует новой </w:t>
      </w:r>
      <w:hyperlink r:id="rId12" w:tgtFrame="_top" w:history="1">
        <w:r w:rsidRPr="00935061">
          <w:rPr>
            <w:rFonts w:ascii="Times New Roman" w:eastAsia="Times New Roman" w:hAnsi="Times New Roman" w:cs="Times New Roman"/>
            <w:color w:val="16489B"/>
            <w:sz w:val="28"/>
            <w:szCs w:val="28"/>
            <w:lang w:eastAsia="ru-RU"/>
          </w:rPr>
          <w:t>ч. 3 ст. 135 ТК РФ</w:t>
        </w:r>
      </w:hyperlink>
      <w:r w:rsidRPr="00935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Если обнаружены несоответствия, необходимо внести изменения. Изменения в ЛНА вносятся приказом работодателя, с которым работников следует ознакомить под подпись (</w:t>
      </w:r>
      <w:proofErr w:type="spellStart"/>
      <w:r w:rsidRPr="00935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935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"https://its.1c.ru/db/garant/content/12025268/hdoc/22014" \t "_top" </w:instrText>
      </w:r>
      <w:r w:rsidRPr="00935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935061">
        <w:rPr>
          <w:rFonts w:ascii="Times New Roman" w:eastAsia="Times New Roman" w:hAnsi="Times New Roman" w:cs="Times New Roman"/>
          <w:color w:val="16489B"/>
          <w:sz w:val="28"/>
          <w:szCs w:val="28"/>
          <w:lang w:eastAsia="ru-RU"/>
        </w:rPr>
        <w:t>абз</w:t>
      </w:r>
      <w:proofErr w:type="spellEnd"/>
      <w:r w:rsidRPr="00935061">
        <w:rPr>
          <w:rFonts w:ascii="Times New Roman" w:eastAsia="Times New Roman" w:hAnsi="Times New Roman" w:cs="Times New Roman"/>
          <w:color w:val="16489B"/>
          <w:sz w:val="28"/>
          <w:szCs w:val="28"/>
          <w:lang w:eastAsia="ru-RU"/>
        </w:rPr>
        <w:t>. 6 ч. 2 ст. 22 ТК РФ</w:t>
      </w:r>
      <w:r w:rsidRPr="00935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935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935061" w:rsidRPr="00935061" w:rsidRDefault="00935061" w:rsidP="0093506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35061" w:rsidRPr="00935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549F5"/>
    <w:multiLevelType w:val="multilevel"/>
    <w:tmpl w:val="FFB0A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98543C"/>
    <w:multiLevelType w:val="multilevel"/>
    <w:tmpl w:val="94A04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061"/>
    <w:rsid w:val="00935061"/>
    <w:rsid w:val="00D52A6A"/>
    <w:rsid w:val="00F9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350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350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uiPriority w:val="1"/>
    <w:qFormat/>
    <w:rsid w:val="00935061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93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3506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350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350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uiPriority w:val="1"/>
    <w:qFormat/>
    <w:rsid w:val="00935061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93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350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0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s.1c.ru/db/garant/content/12025268/hdoc/12902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its.1c.ru/db/garant/content/406948408/hdoc" TargetMode="External"/><Relationship Id="rId12" Type="http://schemas.openxmlformats.org/officeDocument/2006/relationships/hyperlink" Target="https://its.1c.ru/db/garant/content/12025268/hdoc/1350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ts.1c.ru/db/garant/content/12025268/hdoc/135" TargetMode="External"/><Relationship Id="rId11" Type="http://schemas.openxmlformats.org/officeDocument/2006/relationships/hyperlink" Target="https://its.1c.ru/db/garant/content/12025268/hdoc/1350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ts.1c.ru/db/garant/content/12025268/hdoc/13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ts.1c.ru/db/garant/content/12025268/hdoc/135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2025-09-29T23:12:00Z</dcterms:created>
  <dcterms:modified xsi:type="dcterms:W3CDTF">2025-09-29T23:16:00Z</dcterms:modified>
</cp:coreProperties>
</file>