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61" w:rsidRPr="00392C61" w:rsidRDefault="00392C61" w:rsidP="006F6064">
      <w:pPr>
        <w:spacing w:after="13" w:line="227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C96976" w:rsidRPr="00F128C9" w:rsidRDefault="00C96976" w:rsidP="00C96976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</w:rPr>
        <w:t>Совет Хилокского муниципального округа</w:t>
      </w:r>
    </w:p>
    <w:p w:rsidR="00392C61" w:rsidRDefault="00C96976" w:rsidP="00392C61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</w:rPr>
        <w:t>Созыв 2025-2030 годы</w:t>
      </w:r>
    </w:p>
    <w:p w:rsidR="00392C61" w:rsidRDefault="00392C61" w:rsidP="00392C61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6976" w:rsidRPr="00524264" w:rsidRDefault="00C96976" w:rsidP="00C96976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</w:rPr>
        <w:t>РЕШЕНИЕ</w:t>
      </w:r>
    </w:p>
    <w:p w:rsidR="00C96976" w:rsidRDefault="00C96976" w:rsidP="00C96976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г. Хилок</w:t>
      </w:r>
    </w:p>
    <w:p w:rsidR="00C96976" w:rsidRDefault="00C96976" w:rsidP="006F6064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</w:t>
      </w:r>
      <w:r w:rsidR="006F6064">
        <w:rPr>
          <w:rFonts w:ascii="Times New Roman" w:eastAsia="Times New Roman" w:hAnsi="Times New Roman" w:cs="Times New Roman"/>
          <w:color w:val="000000"/>
          <w:sz w:val="28"/>
        </w:rPr>
        <w:t>«23» декабря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2025 года    </w:t>
      </w:r>
      <w:r w:rsidR="006F6064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</w:t>
      </w:r>
      <w:r w:rsidR="006F6064"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 w:rsidRPr="00495AAC"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="006F6064">
        <w:rPr>
          <w:rFonts w:ascii="Times New Roman" w:eastAsia="Times New Roman" w:hAnsi="Times New Roman" w:cs="Times New Roman"/>
          <w:color w:val="000000"/>
          <w:sz w:val="28"/>
        </w:rPr>
        <w:t xml:space="preserve"> 5.63</w:t>
      </w:r>
      <w:r w:rsidRPr="00495AA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87C87" w:rsidRPr="00DC1E5F" w:rsidRDefault="00987C87" w:rsidP="00987C87">
      <w:pPr>
        <w:ind w:firstLine="851"/>
        <w:rPr>
          <w:rFonts w:ascii="Times New Roman" w:hAnsi="Times New Roman"/>
          <w:sz w:val="28"/>
          <w:szCs w:val="28"/>
        </w:rPr>
      </w:pPr>
    </w:p>
    <w:p w:rsidR="00987C87" w:rsidRPr="003C221F" w:rsidRDefault="00987C87" w:rsidP="00987C8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2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о составе, порядке подготовки </w:t>
      </w:r>
      <w:r w:rsidRPr="003C221F">
        <w:rPr>
          <w:rFonts w:ascii="Times New Roman" w:hAnsi="Times New Roman" w:cs="Times New Roman"/>
          <w:b/>
          <w:sz w:val="28"/>
          <w:szCs w:val="28"/>
        </w:rPr>
        <w:t xml:space="preserve">генерального плана </w:t>
      </w:r>
      <w:r w:rsidR="00C96976" w:rsidRPr="003C221F">
        <w:rPr>
          <w:rFonts w:ascii="Times New Roman" w:eastAsia="Times New Roman" w:hAnsi="Times New Roman" w:cs="Times New Roman"/>
          <w:b/>
          <w:color w:val="000000"/>
          <w:sz w:val="28"/>
        </w:rPr>
        <w:t>Хилокского муниципального округа Забайкальского края</w:t>
      </w:r>
      <w:r w:rsidRPr="003C221F">
        <w:rPr>
          <w:rFonts w:ascii="Times New Roman" w:hAnsi="Times New Roman" w:cs="Times New Roman"/>
          <w:b/>
          <w:sz w:val="28"/>
          <w:szCs w:val="28"/>
        </w:rPr>
        <w:t>, порядке подготовки изменений и внесения их в генеральный план, составе и порядке подготовки плана его реализации</w:t>
      </w:r>
    </w:p>
    <w:p w:rsidR="00987C87" w:rsidRDefault="00987C87" w:rsidP="00987C87">
      <w:pPr>
        <w:ind w:firstLine="708"/>
        <w:jc w:val="both"/>
        <w:rPr>
          <w:rFonts w:ascii="Times New Roman" w:hAnsi="Times New Roman" w:cs="Times New Roman"/>
          <w:color w:val="2C2C2C"/>
          <w:sz w:val="28"/>
          <w:szCs w:val="28"/>
        </w:rPr>
      </w:pPr>
    </w:p>
    <w:p w:rsidR="006F6064" w:rsidRDefault="002D5E22" w:rsidP="00C96976">
      <w:pPr>
        <w:pStyle w:val="1"/>
        <w:ind w:firstLine="851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2D5E22">
        <w:rPr>
          <w:rFonts w:ascii="Times New Roman" w:hAnsi="Times New Roman"/>
          <w:color w:val="2C2C2C"/>
          <w:sz w:val="28"/>
          <w:szCs w:val="28"/>
        </w:rPr>
        <w:t>В соответствии с частью 2 статьи 18 Градостроительного кодекса Российской Федерации, пунктом 26 части 1 статьи 16 Федерального закона о</w:t>
      </w:r>
      <w:r w:rsidR="00366B75">
        <w:rPr>
          <w:rFonts w:ascii="Times New Roman" w:hAnsi="Times New Roman"/>
          <w:color w:val="2C2C2C"/>
          <w:sz w:val="28"/>
          <w:szCs w:val="28"/>
        </w:rPr>
        <w:t>т 6 октября 2003 года N 131-ФЗ «</w:t>
      </w:r>
      <w:r w:rsidRPr="002D5E22">
        <w:rPr>
          <w:rFonts w:ascii="Times New Roman" w:hAnsi="Times New Roman"/>
          <w:color w:val="2C2C2C"/>
          <w:sz w:val="28"/>
          <w:szCs w:val="28"/>
        </w:rPr>
        <w:t>Об общих принципах организации местного самоуп</w:t>
      </w:r>
      <w:r w:rsidR="00366B75">
        <w:rPr>
          <w:rFonts w:ascii="Times New Roman" w:hAnsi="Times New Roman"/>
          <w:color w:val="2C2C2C"/>
          <w:sz w:val="28"/>
          <w:szCs w:val="28"/>
        </w:rPr>
        <w:t>равления в Российской Федерации»</w:t>
      </w:r>
      <w:r w:rsidRPr="002D5E22">
        <w:rPr>
          <w:rFonts w:ascii="Times New Roman" w:hAnsi="Times New Roman"/>
          <w:color w:val="2C2C2C"/>
          <w:sz w:val="28"/>
          <w:szCs w:val="28"/>
        </w:rPr>
        <w:t xml:space="preserve">, </w:t>
      </w:r>
      <w:r w:rsidR="00F1705C">
        <w:rPr>
          <w:rFonts w:ascii="Times New Roman" w:hAnsi="Times New Roman"/>
          <w:sz w:val="28"/>
          <w:szCs w:val="28"/>
        </w:rPr>
        <w:t>у</w:t>
      </w:r>
      <w:r w:rsidR="00987C87">
        <w:rPr>
          <w:rFonts w:ascii="Times New Roman" w:hAnsi="Times New Roman"/>
          <w:sz w:val="28"/>
          <w:szCs w:val="28"/>
        </w:rPr>
        <w:t xml:space="preserve">ставом </w:t>
      </w:r>
      <w:r w:rsidR="00C96976" w:rsidRPr="00F128C9">
        <w:rPr>
          <w:rFonts w:ascii="Times New Roman" w:hAnsi="Times New Roman"/>
          <w:color w:val="000000"/>
          <w:sz w:val="28"/>
        </w:rPr>
        <w:t>Хилокского муниципального округа Забайкальского края</w:t>
      </w:r>
      <w:r w:rsidR="00987C87">
        <w:rPr>
          <w:rFonts w:ascii="Times New Roman" w:hAnsi="Times New Roman"/>
          <w:sz w:val="28"/>
          <w:szCs w:val="28"/>
        </w:rPr>
        <w:t>, принятого решением</w:t>
      </w:r>
      <w:r w:rsidR="00987C87" w:rsidRPr="003040FD">
        <w:rPr>
          <w:rFonts w:ascii="Times New Roman" w:hAnsi="Times New Roman"/>
          <w:sz w:val="28"/>
          <w:szCs w:val="28"/>
        </w:rPr>
        <w:t xml:space="preserve"> </w:t>
      </w:r>
      <w:r w:rsidR="000D3DF6">
        <w:rPr>
          <w:rFonts w:ascii="Times New Roman" w:hAnsi="Times New Roman"/>
          <w:sz w:val="28"/>
          <w:szCs w:val="28"/>
        </w:rPr>
        <w:t>Совета Хилокского муниципального округа</w:t>
      </w:r>
      <w:r w:rsidR="000D3DF6">
        <w:rPr>
          <w:rFonts w:ascii="Times New Roman" w:hAnsi="Times New Roman"/>
          <w:i/>
          <w:sz w:val="28"/>
          <w:szCs w:val="28"/>
        </w:rPr>
        <w:t xml:space="preserve"> </w:t>
      </w:r>
      <w:r w:rsidR="000D3DF6">
        <w:rPr>
          <w:rFonts w:ascii="Times New Roman" w:hAnsi="Times New Roman"/>
          <w:sz w:val="28"/>
          <w:szCs w:val="28"/>
        </w:rPr>
        <w:t>от 14 октября 2025 года</w:t>
      </w:r>
      <w:r w:rsidR="00987C87">
        <w:rPr>
          <w:rFonts w:ascii="Times New Roman" w:hAnsi="Times New Roman"/>
          <w:sz w:val="28"/>
          <w:szCs w:val="28"/>
        </w:rPr>
        <w:t xml:space="preserve"> № </w:t>
      </w:r>
      <w:r w:rsidR="000D3DF6">
        <w:rPr>
          <w:rFonts w:ascii="Times New Roman" w:hAnsi="Times New Roman"/>
          <w:sz w:val="28"/>
          <w:szCs w:val="28"/>
        </w:rPr>
        <w:t>2.16</w:t>
      </w:r>
      <w:r w:rsidR="00CF5137">
        <w:rPr>
          <w:rFonts w:ascii="Times New Roman" w:hAnsi="Times New Roman"/>
          <w:sz w:val="28"/>
          <w:szCs w:val="28"/>
        </w:rPr>
        <w:t>,</w:t>
      </w:r>
      <w:r w:rsidR="000D3DF6" w:rsidRPr="000D3DF6">
        <w:rPr>
          <w:rFonts w:ascii="Times New Roman" w:hAnsi="Times New Roman"/>
          <w:color w:val="000000"/>
          <w:sz w:val="28"/>
        </w:rPr>
        <w:t xml:space="preserve"> </w:t>
      </w:r>
      <w:r w:rsidR="000D3DF6" w:rsidRPr="001E63BA">
        <w:rPr>
          <w:rFonts w:ascii="Times New Roman" w:hAnsi="Times New Roman"/>
          <w:color w:val="000000"/>
          <w:sz w:val="28"/>
        </w:rPr>
        <w:t>Совет Хилокского муниципального округа Забайкальского края</w:t>
      </w:r>
      <w:r w:rsidR="006F6064">
        <w:rPr>
          <w:rFonts w:ascii="Times New Roman" w:hAnsi="Times New Roman"/>
          <w:color w:val="000000"/>
          <w:sz w:val="28"/>
        </w:rPr>
        <w:t>.</w:t>
      </w:r>
      <w:proofErr w:type="gramEnd"/>
    </w:p>
    <w:p w:rsidR="00987C87" w:rsidRPr="00C96976" w:rsidRDefault="000D3DF6" w:rsidP="00C96976">
      <w:pPr>
        <w:pStyle w:val="1"/>
        <w:ind w:firstLine="851"/>
        <w:jc w:val="both"/>
        <w:rPr>
          <w:rFonts w:ascii="Times New Roman" w:hAnsi="Times New Roman"/>
          <w:color w:val="2C2C2C"/>
          <w:sz w:val="28"/>
          <w:szCs w:val="28"/>
        </w:rPr>
      </w:pPr>
      <w:bookmarkStart w:id="0" w:name="_GoBack"/>
      <w:r>
        <w:rPr>
          <w:rFonts w:ascii="Times New Roman" w:hAnsi="Times New Roman"/>
          <w:i/>
          <w:sz w:val="28"/>
          <w:szCs w:val="28"/>
        </w:rPr>
        <w:t xml:space="preserve"> </w:t>
      </w:r>
      <w:r w:rsidR="00987C87" w:rsidRPr="003040FD">
        <w:rPr>
          <w:rFonts w:ascii="Times New Roman" w:hAnsi="Times New Roman"/>
          <w:sz w:val="28"/>
          <w:szCs w:val="28"/>
        </w:rPr>
        <w:t>РЕШИЛ:</w:t>
      </w:r>
    </w:p>
    <w:bookmarkEnd w:id="0"/>
    <w:p w:rsidR="00987C87" w:rsidRPr="003040FD" w:rsidRDefault="00987C87" w:rsidP="00987C8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Положение о составе, порядке подготовки </w:t>
      </w:r>
      <w:r>
        <w:rPr>
          <w:rFonts w:ascii="Times New Roman" w:hAnsi="Times New Roman"/>
          <w:sz w:val="28"/>
          <w:szCs w:val="28"/>
        </w:rPr>
        <w:t xml:space="preserve">генерального плана </w:t>
      </w:r>
      <w:r w:rsidR="00C96976" w:rsidRPr="00F128C9">
        <w:rPr>
          <w:rFonts w:ascii="Times New Roman" w:hAnsi="Times New Roman"/>
          <w:color w:val="000000"/>
          <w:sz w:val="28"/>
        </w:rPr>
        <w:t>Хилокского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, порядке подготовки и внесения изменений в генеральный план, составе и порядке подготовки плана его реализации</w:t>
      </w:r>
      <w:r w:rsidRPr="003040FD">
        <w:rPr>
          <w:rFonts w:ascii="Times New Roman" w:hAnsi="Times New Roman"/>
          <w:sz w:val="28"/>
          <w:szCs w:val="28"/>
        </w:rPr>
        <w:t xml:space="preserve"> </w:t>
      </w:r>
      <w:r w:rsidRPr="00842CDD">
        <w:rPr>
          <w:rFonts w:ascii="Times New Roman" w:hAnsi="Times New Roman"/>
          <w:sz w:val="28"/>
          <w:szCs w:val="28"/>
        </w:rPr>
        <w:t>согласно приложению.</w:t>
      </w:r>
    </w:p>
    <w:p w:rsidR="00987C87" w:rsidRPr="00842CDD" w:rsidRDefault="002E19CD" w:rsidP="00987C8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987C87" w:rsidRPr="00842CDD">
        <w:rPr>
          <w:rFonts w:ascii="Times New Roman" w:hAnsi="Times New Roman"/>
          <w:sz w:val="28"/>
          <w:szCs w:val="28"/>
        </w:rPr>
        <w:t xml:space="preserve"> силу </w:t>
      </w:r>
      <w:r w:rsidR="00C96976">
        <w:rPr>
          <w:rFonts w:ascii="Times New Roman" w:hAnsi="Times New Roman"/>
          <w:sz w:val="28"/>
          <w:szCs w:val="28"/>
        </w:rPr>
        <w:t>Решение Совета муниципального района «Хилокский район» от 10.03.2</w:t>
      </w:r>
      <w:r w:rsidR="007B11E8">
        <w:rPr>
          <w:rFonts w:ascii="Times New Roman" w:hAnsi="Times New Roman"/>
          <w:sz w:val="28"/>
          <w:szCs w:val="28"/>
        </w:rPr>
        <w:t>021 г. № 30.243 «</w:t>
      </w:r>
      <w:r w:rsidR="007B11E8" w:rsidRPr="007B11E8">
        <w:rPr>
          <w:rFonts w:ascii="Times New Roman" w:eastAsia="Calibri" w:hAnsi="Times New Roman"/>
          <w:sz w:val="28"/>
          <w:szCs w:val="28"/>
        </w:rPr>
        <w:t xml:space="preserve">Об утверждении </w:t>
      </w:r>
      <w:r w:rsidR="007B11E8" w:rsidRPr="007B11E8">
        <w:rPr>
          <w:rFonts w:ascii="Times New Roman" w:hAnsi="Times New Roman"/>
          <w:bCs/>
          <w:sz w:val="28"/>
          <w:szCs w:val="28"/>
        </w:rPr>
        <w:t xml:space="preserve">Положения о составе, порядке подготовки генеральных планов, порядке подготовки изменений и внесения их в генеральные планы, а также о составе и порядке </w:t>
      </w:r>
      <w:proofErr w:type="gramStart"/>
      <w:r w:rsidR="007B11E8" w:rsidRPr="007B11E8">
        <w:rPr>
          <w:rFonts w:ascii="Times New Roman" w:hAnsi="Times New Roman"/>
          <w:bCs/>
          <w:sz w:val="28"/>
          <w:szCs w:val="28"/>
        </w:rPr>
        <w:t>подготовки планов реализации генеральных планов сельских поселений муниципального</w:t>
      </w:r>
      <w:proofErr w:type="gramEnd"/>
      <w:r w:rsidR="007B11E8" w:rsidRPr="007B11E8">
        <w:rPr>
          <w:rFonts w:ascii="Times New Roman" w:hAnsi="Times New Roman"/>
          <w:bCs/>
          <w:sz w:val="28"/>
          <w:szCs w:val="28"/>
        </w:rPr>
        <w:t xml:space="preserve"> района «Хилокский район»</w:t>
      </w:r>
      <w:r w:rsidR="00987C87" w:rsidRPr="007B11E8">
        <w:rPr>
          <w:rFonts w:ascii="Times New Roman" w:hAnsi="Times New Roman"/>
          <w:sz w:val="28"/>
          <w:szCs w:val="28"/>
        </w:rPr>
        <w:t>.</w:t>
      </w:r>
    </w:p>
    <w:p w:rsidR="00C96976" w:rsidRPr="0031290E" w:rsidRDefault="00C96976" w:rsidP="00C969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B72967">
        <w:rPr>
          <w:rFonts w:ascii="Times New Roman" w:hAnsi="Times New Roman" w:cs="Times New Roman"/>
          <w:sz w:val="28"/>
        </w:rPr>
        <w:t xml:space="preserve">3. </w:t>
      </w:r>
      <w:r w:rsidR="00B72967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B72967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B729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7296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B72967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B7296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7296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72967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B72967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B729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72967">
        <w:rPr>
          <w:rFonts w:ascii="Times New Roman" w:hAnsi="Times New Roman" w:cs="Times New Roman"/>
          <w:sz w:val="28"/>
          <w:szCs w:val="28"/>
        </w:rPr>
        <w:t>).</w:t>
      </w:r>
    </w:p>
    <w:p w:rsidR="00304377" w:rsidRDefault="00C96976" w:rsidP="00C96976">
      <w:pPr>
        <w:pStyle w:val="a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4.</w:t>
      </w:r>
      <w:r w:rsidR="007B11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после его официального опубликования (обнародования).</w:t>
      </w:r>
      <w:r w:rsidR="00987C87" w:rsidRPr="00842CDD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:rsidR="00C96976" w:rsidRDefault="00C96976" w:rsidP="00C96976">
      <w:pPr>
        <w:pStyle w:val="a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96976" w:rsidRDefault="00C96976" w:rsidP="00C96976">
      <w:pPr>
        <w:spacing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главы муниципального района </w:t>
      </w:r>
    </w:p>
    <w:p w:rsidR="007B11E8" w:rsidRDefault="00C96976" w:rsidP="007B11E8">
      <w:pPr>
        <w:spacing w:line="249" w:lineRule="auto"/>
        <w:ind w:right="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«Хилокский район»</w:t>
      </w:r>
      <w:r w:rsidR="007B11E8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А.Н.Ермолаев</w:t>
      </w:r>
    </w:p>
    <w:p w:rsidR="00C96976" w:rsidRPr="00F128C9" w:rsidRDefault="00C96976" w:rsidP="00C96976">
      <w:pPr>
        <w:spacing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</w:t>
      </w:r>
    </w:p>
    <w:p w:rsidR="00C96976" w:rsidRDefault="00C96976" w:rsidP="00C96976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C96976" w:rsidRDefault="00C96976" w:rsidP="00C96976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      С.В. Черёмушкин</w:t>
      </w:r>
    </w:p>
    <w:p w:rsidR="00C96976" w:rsidRDefault="00C96976" w:rsidP="00760635">
      <w:pPr>
        <w:spacing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60635" w:rsidRDefault="003C221F" w:rsidP="00760635">
      <w:pPr>
        <w:spacing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760635">
        <w:rPr>
          <w:rFonts w:ascii="Times New Roman" w:eastAsia="Times New Roman" w:hAnsi="Times New Roman" w:cs="Times New Roman"/>
          <w:color w:val="000000"/>
          <w:sz w:val="28"/>
        </w:rPr>
        <w:t>УТВЕРЖДЕНО</w:t>
      </w:r>
    </w:p>
    <w:p w:rsidR="00760635" w:rsidRPr="00495AAC" w:rsidRDefault="00760635" w:rsidP="00760635">
      <w:pPr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</w:rPr>
        <w:t xml:space="preserve">решением </w:t>
      </w:r>
    </w:p>
    <w:p w:rsidR="00760635" w:rsidRPr="00434C35" w:rsidRDefault="00760635" w:rsidP="00760635">
      <w:pPr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</w:rPr>
        <w:t>Совета Хилокского муниципального округа</w:t>
      </w:r>
    </w:p>
    <w:p w:rsidR="00760635" w:rsidRPr="00434C35" w:rsidRDefault="00760635" w:rsidP="00760635">
      <w:pPr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края   </w:t>
      </w:r>
    </w:p>
    <w:p w:rsidR="00760635" w:rsidRPr="00E10552" w:rsidRDefault="00760635" w:rsidP="00760635">
      <w:pPr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</w:rPr>
        <w:t xml:space="preserve"> от</w:t>
      </w:r>
      <w:r w:rsidRPr="00E1055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F6064">
        <w:rPr>
          <w:rFonts w:ascii="Times New Roman" w:eastAsia="Times New Roman" w:hAnsi="Times New Roman" w:cs="Times New Roman"/>
          <w:color w:val="000000"/>
          <w:sz w:val="28"/>
          <w:u w:val="single"/>
        </w:rPr>
        <w:t>23 декабря 2025 года</w:t>
      </w:r>
      <w:r w:rsidRPr="00434C35"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 w:rsidR="006F6064">
        <w:rPr>
          <w:rFonts w:ascii="Times New Roman" w:eastAsia="Times New Roman" w:hAnsi="Times New Roman" w:cs="Times New Roman"/>
          <w:color w:val="000000"/>
          <w:sz w:val="28"/>
          <w:u w:val="single"/>
        </w:rPr>
        <w:t>5.63</w:t>
      </w:r>
    </w:p>
    <w:p w:rsidR="009D72F3" w:rsidRPr="00EF7E58" w:rsidRDefault="009D72F3" w:rsidP="009D7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58">
        <w:rPr>
          <w:rFonts w:ascii="Times New Roman" w:hAnsi="Times New Roman" w:cs="Times New Roman"/>
          <w:sz w:val="28"/>
          <w:szCs w:val="28"/>
        </w:rPr>
        <w:t> </w:t>
      </w:r>
    </w:p>
    <w:p w:rsidR="009D72F3" w:rsidRPr="00EF7E58" w:rsidRDefault="009D72F3" w:rsidP="009D7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58">
        <w:rPr>
          <w:rFonts w:ascii="Times New Roman" w:hAnsi="Times New Roman" w:cs="Times New Roman"/>
          <w:sz w:val="28"/>
          <w:szCs w:val="28"/>
        </w:rPr>
        <w:t> </w:t>
      </w:r>
    </w:p>
    <w:p w:rsidR="009D72F3" w:rsidRPr="004B3131" w:rsidRDefault="009D72F3" w:rsidP="009D72F3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4B3131">
        <w:rPr>
          <w:rFonts w:ascii="Times New Roman" w:hAnsi="Times New Roman"/>
          <w:sz w:val="28"/>
          <w:szCs w:val="28"/>
        </w:rPr>
        <w:t>Положение</w:t>
      </w:r>
    </w:p>
    <w:p w:rsidR="009D72F3" w:rsidRPr="004B3131" w:rsidRDefault="009D72F3" w:rsidP="009D72F3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4B3131">
        <w:rPr>
          <w:rFonts w:ascii="Times New Roman" w:hAnsi="Times New Roman"/>
          <w:sz w:val="28"/>
          <w:szCs w:val="28"/>
        </w:rPr>
        <w:t xml:space="preserve">о составе, порядке подготовки генерального </w:t>
      </w:r>
      <w:r>
        <w:rPr>
          <w:rFonts w:ascii="Times New Roman" w:hAnsi="Times New Roman"/>
          <w:sz w:val="28"/>
          <w:szCs w:val="28"/>
        </w:rPr>
        <w:t>пла</w:t>
      </w:r>
      <w:r w:rsidR="00760635">
        <w:rPr>
          <w:rFonts w:ascii="Times New Roman" w:hAnsi="Times New Roman"/>
          <w:sz w:val="28"/>
          <w:szCs w:val="28"/>
        </w:rPr>
        <w:t>на Хилокского муниципального округа Забайкальского края</w:t>
      </w:r>
      <w:r w:rsidRPr="004B3131">
        <w:rPr>
          <w:rFonts w:ascii="Times New Roman" w:hAnsi="Times New Roman"/>
          <w:sz w:val="28"/>
          <w:szCs w:val="28"/>
        </w:rPr>
        <w:t xml:space="preserve">, порядке </w:t>
      </w:r>
      <w:r w:rsidRPr="00A576E2">
        <w:rPr>
          <w:rFonts w:ascii="Times New Roman" w:hAnsi="Times New Roman"/>
          <w:sz w:val="28"/>
          <w:szCs w:val="28"/>
        </w:rPr>
        <w:t>подготовки изменений и внесения их в генеральный план, составе и порядке подготовки плана его реализации</w:t>
      </w:r>
    </w:p>
    <w:p w:rsidR="009D72F3" w:rsidRDefault="009D72F3" w:rsidP="009D72F3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2F3" w:rsidRDefault="009D72F3" w:rsidP="009D72F3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76B77">
        <w:rPr>
          <w:rFonts w:ascii="Times New Roman" w:hAnsi="Times New Roman"/>
          <w:sz w:val="28"/>
          <w:szCs w:val="28"/>
        </w:rPr>
        <w:t xml:space="preserve"> </w:t>
      </w:r>
      <w:r w:rsidRPr="00F2345F">
        <w:rPr>
          <w:rFonts w:ascii="Times New Roman" w:hAnsi="Times New Roman"/>
          <w:sz w:val="28"/>
          <w:szCs w:val="28"/>
        </w:rPr>
        <w:t>Общие положения</w:t>
      </w:r>
    </w:p>
    <w:p w:rsidR="00BE6C0B" w:rsidRPr="00F2345F" w:rsidRDefault="00BE6C0B" w:rsidP="009D72F3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14EC" w:rsidRPr="00467D42" w:rsidRDefault="00467D42" w:rsidP="00467D4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67D4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1914EC" w:rsidRPr="00467D42">
        <w:rPr>
          <w:rFonts w:ascii="Times New Roman" w:hAnsi="Times New Roman"/>
          <w:sz w:val="28"/>
          <w:szCs w:val="28"/>
        </w:rPr>
        <w:t xml:space="preserve">Настоящее Положение о составе, порядке подготовки генерального плана </w:t>
      </w:r>
      <w:r w:rsidR="00760635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1914EC" w:rsidRPr="00467D42">
        <w:rPr>
          <w:rFonts w:ascii="Times New Roman" w:hAnsi="Times New Roman"/>
          <w:sz w:val="28"/>
          <w:szCs w:val="28"/>
        </w:rPr>
        <w:t>, порядке подготовки и внесения изменений в генеральный план, составе и порядке подготовки плана его реализации (далее – Положение) разработано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58C7" w:rsidRPr="00467D42">
        <w:rPr>
          <w:sz w:val="28"/>
          <w:szCs w:val="28"/>
        </w:rPr>
        <w:t xml:space="preserve"> </w:t>
      </w:r>
      <w:r w:rsidR="00DD58C7" w:rsidRPr="00467D42">
        <w:rPr>
          <w:rFonts w:ascii="Times New Roman" w:hAnsi="Times New Roman"/>
          <w:sz w:val="28"/>
          <w:szCs w:val="28"/>
        </w:rPr>
        <w:t>Законом Забайкальского края от 29 декабря 2008 года</w:t>
      </w:r>
      <w:proofErr w:type="gramEnd"/>
      <w:r w:rsidR="00DD58C7" w:rsidRPr="00467D42">
        <w:rPr>
          <w:rFonts w:ascii="Times New Roman" w:hAnsi="Times New Roman"/>
          <w:sz w:val="28"/>
          <w:szCs w:val="28"/>
        </w:rPr>
        <w:t xml:space="preserve"> № 113-ЗЗК «О градостроительной деятельности в Забайкальском крае» (далее - Закона № 113-ЗЗК),</w:t>
      </w:r>
      <w:r w:rsidR="00DD58C7" w:rsidRPr="00467D42">
        <w:rPr>
          <w:sz w:val="28"/>
          <w:szCs w:val="28"/>
        </w:rPr>
        <w:t xml:space="preserve"> </w:t>
      </w:r>
      <w:r w:rsidR="00DD58C7" w:rsidRPr="00467D42">
        <w:rPr>
          <w:rFonts w:ascii="Times New Roman" w:hAnsi="Times New Roman"/>
          <w:sz w:val="28"/>
          <w:szCs w:val="28"/>
        </w:rPr>
        <w:t xml:space="preserve">Уставом </w:t>
      </w:r>
      <w:r w:rsidR="00760635">
        <w:rPr>
          <w:rFonts w:ascii="Times New Roman" w:hAnsi="Times New Roman"/>
          <w:sz w:val="28"/>
          <w:szCs w:val="28"/>
        </w:rPr>
        <w:t>Хилокского муниципального округа Забайкальского края</w:t>
      </w:r>
      <w:r w:rsidR="006C2363" w:rsidRPr="00467D42">
        <w:rPr>
          <w:rFonts w:ascii="Times New Roman" w:hAnsi="Times New Roman"/>
          <w:sz w:val="28"/>
          <w:szCs w:val="28"/>
        </w:rPr>
        <w:t>.</w:t>
      </w:r>
    </w:p>
    <w:p w:rsidR="00304377" w:rsidRPr="00467D42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467D42">
        <w:rPr>
          <w:sz w:val="28"/>
          <w:szCs w:val="28"/>
        </w:rPr>
        <w:t xml:space="preserve">2. Документом территориального планирования </w:t>
      </w:r>
      <w:r w:rsidR="00503DE5" w:rsidRPr="00467D42">
        <w:rPr>
          <w:sz w:val="28"/>
          <w:szCs w:val="28"/>
        </w:rPr>
        <w:t>муниципального округа</w:t>
      </w:r>
      <w:r w:rsidR="00467D42">
        <w:rPr>
          <w:sz w:val="28"/>
          <w:szCs w:val="28"/>
        </w:rPr>
        <w:t xml:space="preserve"> </w:t>
      </w:r>
      <w:r w:rsidR="00A85C92" w:rsidRPr="00467D42">
        <w:rPr>
          <w:sz w:val="28"/>
          <w:szCs w:val="28"/>
        </w:rPr>
        <w:t>(наименование муниципального округа)</w:t>
      </w:r>
      <w:r w:rsidRPr="00467D42">
        <w:rPr>
          <w:sz w:val="28"/>
          <w:szCs w:val="28"/>
        </w:rPr>
        <w:t xml:space="preserve"> (далее - </w:t>
      </w:r>
      <w:r w:rsidR="00467D42">
        <w:rPr>
          <w:sz w:val="28"/>
          <w:szCs w:val="28"/>
        </w:rPr>
        <w:t>муниципальный</w:t>
      </w:r>
      <w:r w:rsidRPr="00467D42">
        <w:rPr>
          <w:sz w:val="28"/>
          <w:szCs w:val="28"/>
        </w:rPr>
        <w:t xml:space="preserve"> округ) является генеральный план </w:t>
      </w:r>
      <w:r w:rsidR="00503DE5" w:rsidRPr="00467D42">
        <w:rPr>
          <w:sz w:val="28"/>
          <w:szCs w:val="28"/>
        </w:rPr>
        <w:t>муниципального округа</w:t>
      </w:r>
      <w:r w:rsidRPr="00467D42">
        <w:rPr>
          <w:sz w:val="28"/>
          <w:szCs w:val="28"/>
        </w:rPr>
        <w:t xml:space="preserve"> (далее - Генеральный план).</w:t>
      </w:r>
    </w:p>
    <w:p w:rsidR="00304377" w:rsidRPr="00467D42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467D42">
        <w:rPr>
          <w:sz w:val="28"/>
          <w:szCs w:val="28"/>
        </w:rPr>
        <w:t>3. Порядок согласования Генерального плана, состав и порядок работы согласительной комиссии при согласовании Генерального плана устанавливаются уполномоченным Правительством Российской Федерации федеральным органом исполнительной власти.</w:t>
      </w:r>
    </w:p>
    <w:p w:rsidR="00304377" w:rsidRPr="00467D42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467D42">
        <w:rPr>
          <w:sz w:val="28"/>
          <w:szCs w:val="28"/>
        </w:rPr>
        <w:t xml:space="preserve">4. Документы, указанные в </w:t>
      </w:r>
      <w:hyperlink w:anchor="P59" w:tooltip="13. Подготовленный в порядке, установленном действующим законодательством в области градостроительной деятельности и настоящим Положением, проект Генерального плана представляется разработчиком в уполномоченный орган.">
        <w:r w:rsidRPr="00467D42">
          <w:rPr>
            <w:color w:val="0000FF"/>
            <w:sz w:val="28"/>
            <w:szCs w:val="28"/>
          </w:rPr>
          <w:t>пунктах 13</w:t>
        </w:r>
      </w:hyperlink>
      <w:r w:rsidRPr="00467D42">
        <w:rPr>
          <w:sz w:val="28"/>
          <w:szCs w:val="28"/>
        </w:rPr>
        <w:t xml:space="preserve">, </w:t>
      </w:r>
      <w:hyperlink w:anchor="P73" w:tooltip="19. Заинтересованные лица вправе представить свои предложения по проекту Генерального плана.">
        <w:r w:rsidRPr="00467D42">
          <w:rPr>
            <w:color w:val="0000FF"/>
            <w:sz w:val="28"/>
            <w:szCs w:val="28"/>
          </w:rPr>
          <w:t>19</w:t>
        </w:r>
      </w:hyperlink>
      <w:r w:rsidRPr="00467D42">
        <w:rPr>
          <w:sz w:val="28"/>
          <w:szCs w:val="28"/>
        </w:rPr>
        <w:t xml:space="preserve">, </w:t>
      </w:r>
      <w:hyperlink w:anchor="P78" w:tooltip="24. Внесение изменений в Генеральный план осуществляется на основании предложений органов государственной власти, органов местного самоуправления, заинтересованных физических и юридических лиц в порядке, определенном для его подготовки.">
        <w:r w:rsidRPr="00467D42">
          <w:rPr>
            <w:color w:val="0000FF"/>
            <w:sz w:val="28"/>
            <w:szCs w:val="28"/>
          </w:rPr>
          <w:t>24</w:t>
        </w:r>
      </w:hyperlink>
      <w:r w:rsidRPr="00467D42">
        <w:rPr>
          <w:sz w:val="28"/>
          <w:szCs w:val="28"/>
        </w:rPr>
        <w:t xml:space="preserve"> настоящего Положения, должны иметь номер и дату регистрации, а также возможность доступа к ним с использованием СЭД "Дело".</w:t>
      </w:r>
    </w:p>
    <w:p w:rsidR="00304377" w:rsidRDefault="00304377">
      <w:pPr>
        <w:pStyle w:val="ConsPlusNormal0"/>
        <w:jc w:val="both"/>
      </w:pPr>
    </w:p>
    <w:p w:rsidR="00BE6C0B" w:rsidRPr="00076B77" w:rsidRDefault="00076B77" w:rsidP="00225EA6">
      <w:pPr>
        <w:pStyle w:val="ConsPlusNormal0"/>
        <w:jc w:val="center"/>
        <w:rPr>
          <w:sz w:val="28"/>
          <w:szCs w:val="28"/>
        </w:rPr>
      </w:pPr>
      <w:r w:rsidRPr="00076B77">
        <w:rPr>
          <w:sz w:val="28"/>
          <w:szCs w:val="28"/>
        </w:rPr>
        <w:t>2. Состав и содержание генерального плана</w:t>
      </w:r>
    </w:p>
    <w:p w:rsidR="00304377" w:rsidRPr="00076B77" w:rsidRDefault="00323DAF">
      <w:pPr>
        <w:pStyle w:val="ConsPlusNormal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5. Состав Генерального плана определяется в соответствии со </w:t>
      </w:r>
      <w:hyperlink r:id="rId7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статьей 23</w:t>
        </w:r>
      </w:hyperlink>
      <w:r w:rsidRPr="00076B77">
        <w:rPr>
          <w:sz w:val="28"/>
          <w:szCs w:val="28"/>
        </w:rPr>
        <w:t xml:space="preserve"> Градостроительного кодекса РФ.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6. Масштаб карт, содержащихся в Генеральном плане, определяется заданием на подготовку проекта Генерального плана.</w:t>
      </w:r>
    </w:p>
    <w:p w:rsidR="00304377" w:rsidRPr="00076B77" w:rsidRDefault="00304377">
      <w:pPr>
        <w:pStyle w:val="ConsPlusNormal0"/>
        <w:jc w:val="both"/>
        <w:rPr>
          <w:sz w:val="28"/>
          <w:szCs w:val="28"/>
        </w:rPr>
      </w:pPr>
    </w:p>
    <w:p w:rsidR="00304377" w:rsidRDefault="00BE6C0B" w:rsidP="00BE6C0B">
      <w:pPr>
        <w:pStyle w:val="ConsPlusNormal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BE6C0B">
        <w:t xml:space="preserve"> </w:t>
      </w:r>
      <w:r w:rsidRPr="00BE6C0B">
        <w:rPr>
          <w:sz w:val="28"/>
          <w:szCs w:val="28"/>
        </w:rPr>
        <w:t>Порядок подготовки</w:t>
      </w:r>
      <w:r w:rsidR="007A3BAF">
        <w:rPr>
          <w:sz w:val="28"/>
          <w:szCs w:val="28"/>
        </w:rPr>
        <w:t xml:space="preserve">, утверждения проекта генерального плана </w:t>
      </w:r>
      <w:r w:rsidRPr="00BE6C0B">
        <w:rPr>
          <w:sz w:val="28"/>
          <w:szCs w:val="28"/>
        </w:rPr>
        <w:t xml:space="preserve">и внесения </w:t>
      </w:r>
      <w:r w:rsidR="007A3BAF">
        <w:rPr>
          <w:sz w:val="28"/>
          <w:szCs w:val="28"/>
        </w:rPr>
        <w:t>изменений в генеральный план</w:t>
      </w:r>
      <w:r w:rsidRPr="00BE6C0B">
        <w:rPr>
          <w:sz w:val="28"/>
          <w:szCs w:val="28"/>
        </w:rPr>
        <w:t>.</w:t>
      </w:r>
    </w:p>
    <w:p w:rsidR="00BE6C0B" w:rsidRPr="00076B77" w:rsidRDefault="00BE6C0B" w:rsidP="00BE6C0B">
      <w:pPr>
        <w:pStyle w:val="ConsPlusNormal0"/>
        <w:jc w:val="center"/>
        <w:rPr>
          <w:sz w:val="28"/>
          <w:szCs w:val="28"/>
        </w:rPr>
      </w:pPr>
    </w:p>
    <w:p w:rsidR="00304377" w:rsidRPr="00076B77" w:rsidRDefault="00323DAF">
      <w:pPr>
        <w:pStyle w:val="ConsPlusNormal0"/>
        <w:ind w:firstLine="540"/>
        <w:jc w:val="both"/>
        <w:rPr>
          <w:sz w:val="28"/>
          <w:szCs w:val="28"/>
        </w:rPr>
      </w:pPr>
      <w:bookmarkStart w:id="1" w:name="P53"/>
      <w:bookmarkEnd w:id="1"/>
      <w:r w:rsidRPr="00076B77">
        <w:rPr>
          <w:sz w:val="28"/>
          <w:szCs w:val="28"/>
        </w:rPr>
        <w:t xml:space="preserve">7. Решение о подготовке проекта Генерального плана, внесения в него изменений, а также решение о подготовке предложений о внесении изменений в Генеральный план принимаются </w:t>
      </w:r>
      <w:r w:rsidR="00760635">
        <w:rPr>
          <w:sz w:val="28"/>
          <w:szCs w:val="28"/>
        </w:rPr>
        <w:t>главой</w:t>
      </w:r>
      <w:r w:rsidRPr="00076B77">
        <w:rPr>
          <w:sz w:val="28"/>
          <w:szCs w:val="28"/>
        </w:rPr>
        <w:t xml:space="preserve">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в форме постановления. Постановление подлежит официальному опубликованию.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8. Состав и содержание задания на подготовку проекта Генерального плана, состав и содержание исходных материалов для подготовки проекта Генерального плана определяются в соответствии с </w:t>
      </w:r>
      <w:hyperlink r:id="rId8" w:tooltip="Закон Забайкальского края от 29.12.2008 N 113-ЗЗК (ред. от 07.10.2024) &quot;О градостроительной деятельности в Забайкальском крае&quot; (принят Законодательным Собранием Забайкальского края 24.12.2008) {КонсультантПлюс}">
        <w:r w:rsidRPr="00076B77">
          <w:rPr>
            <w:color w:val="0000FF"/>
            <w:sz w:val="28"/>
            <w:szCs w:val="28"/>
          </w:rPr>
          <w:t>Законом</w:t>
        </w:r>
      </w:hyperlink>
      <w:r w:rsidRPr="00076B77">
        <w:rPr>
          <w:sz w:val="28"/>
          <w:szCs w:val="28"/>
        </w:rPr>
        <w:t xml:space="preserve"> </w:t>
      </w:r>
      <w:r w:rsidR="00D374A2">
        <w:rPr>
          <w:sz w:val="28"/>
          <w:szCs w:val="28"/>
        </w:rPr>
        <w:t>№</w:t>
      </w:r>
      <w:r w:rsidRPr="00076B77">
        <w:rPr>
          <w:sz w:val="28"/>
          <w:szCs w:val="28"/>
        </w:rPr>
        <w:t xml:space="preserve"> 113-ЗЗК и утверждаются правовым актом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9. Подготовка проекта Генерального плана осуществляется отраслевым (функциональным) органом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>, к полномочиям которого относятся вопросы градостроительной деятельности (далее - уполномоченный ор</w:t>
      </w:r>
      <w:r w:rsidR="00760635">
        <w:rPr>
          <w:sz w:val="28"/>
          <w:szCs w:val="28"/>
        </w:rPr>
        <w:t>ган), на основании поручения главы</w:t>
      </w:r>
      <w:r w:rsidRPr="00076B77">
        <w:rPr>
          <w:sz w:val="28"/>
          <w:szCs w:val="28"/>
        </w:rPr>
        <w:t xml:space="preserve">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и в соответствии со </w:t>
      </w:r>
      <w:hyperlink r:id="rId9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статьями 9</w:t>
        </w:r>
      </w:hyperlink>
      <w:r w:rsidRPr="00076B77">
        <w:rPr>
          <w:sz w:val="28"/>
          <w:szCs w:val="28"/>
        </w:rPr>
        <w:t xml:space="preserve">, </w:t>
      </w:r>
      <w:hyperlink r:id="rId10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24</w:t>
        </w:r>
      </w:hyperlink>
      <w:r w:rsidRPr="00076B77">
        <w:rPr>
          <w:sz w:val="28"/>
          <w:szCs w:val="28"/>
        </w:rPr>
        <w:t xml:space="preserve"> Градостроительного кодекса РФ. Для подготовки проекта может быть привлечен разработчик, определенный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нужд. Заказчиком проекта Генерального плана является уполномоченный орган, указанный в настоящем пункте.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10. Работу по сбору исходных материалов заказчик может включить в объем выполняемых работ, указываемый в задании на подготовку проекта Генерального плана.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11. Подготовка проекта Генерального плана осуществляется на бумажных и электронных носителях.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12. Использование для подготовки проекта Генерального плана исходных материалов, имеющих гриф секретности, осуществляется в соответствии с законодательством Российской Федерации о государственной тайне.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2" w:name="P59"/>
      <w:bookmarkEnd w:id="2"/>
      <w:r w:rsidRPr="00076B77">
        <w:rPr>
          <w:sz w:val="28"/>
          <w:szCs w:val="28"/>
        </w:rPr>
        <w:t>13. Подготовленный в порядке, установленном действующим законодательством в области градостроительной деятельности и настоящим Положением, проект Генерального плана представляется разработчиком в уполномоченный орган.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На подгото</w:t>
      </w:r>
      <w:r w:rsidR="00CD3B93">
        <w:rPr>
          <w:sz w:val="28"/>
          <w:szCs w:val="28"/>
        </w:rPr>
        <w:t>вленный проект Генерального план</w:t>
      </w:r>
      <w:r w:rsidRPr="00076B77">
        <w:rPr>
          <w:sz w:val="28"/>
          <w:szCs w:val="28"/>
        </w:rPr>
        <w:t>а уполномоченным органом дается письменное заключение о его соответствии требованиям градостроительного законодательства Российской Федерации. В случае несоответствия требованиям градостроительного законодательства проект Генерального плана должен быть доработан.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14. </w:t>
      </w:r>
      <w:r w:rsidRPr="002E19CD">
        <w:rPr>
          <w:sz w:val="28"/>
          <w:szCs w:val="28"/>
        </w:rPr>
        <w:t xml:space="preserve">Подготовленный проект Генерального плана (за исключением проектов внесения изменений в Генеральный план) направляется на рассмотрение в </w:t>
      </w:r>
      <w:r w:rsidR="007F284B">
        <w:rPr>
          <w:rStyle w:val="ad"/>
          <w:b w:val="0"/>
          <w:color w:val="333333"/>
          <w:sz w:val="28"/>
          <w:szCs w:val="28"/>
          <w:shd w:val="clear" w:color="auto" w:fill="FFFFFF"/>
        </w:rPr>
        <w:lastRenderedPageBreak/>
        <w:t>Комиссию</w:t>
      </w:r>
      <w:r w:rsidR="007F284B" w:rsidRPr="007F284B">
        <w:rPr>
          <w:rStyle w:val="ad"/>
          <w:b w:val="0"/>
          <w:color w:val="333333"/>
          <w:sz w:val="28"/>
          <w:szCs w:val="28"/>
          <w:shd w:val="clear" w:color="auto" w:fill="FFFFFF"/>
        </w:rPr>
        <w:t xml:space="preserve"> по подготовке проекта генерального плана</w:t>
      </w:r>
      <w:r w:rsidR="007F284B" w:rsidRPr="007F284B">
        <w:rPr>
          <w:b/>
          <w:sz w:val="28"/>
          <w:szCs w:val="28"/>
        </w:rPr>
        <w:t xml:space="preserve"> </w:t>
      </w:r>
      <w:r w:rsidRPr="002E19CD">
        <w:rPr>
          <w:sz w:val="28"/>
          <w:szCs w:val="28"/>
        </w:rPr>
        <w:t xml:space="preserve">(далее - </w:t>
      </w:r>
      <w:r w:rsidR="007F284B">
        <w:rPr>
          <w:sz w:val="28"/>
          <w:szCs w:val="28"/>
        </w:rPr>
        <w:t>Комиссия</w:t>
      </w:r>
      <w:r w:rsidRPr="002E19CD">
        <w:rPr>
          <w:sz w:val="28"/>
          <w:szCs w:val="28"/>
        </w:rPr>
        <w:t xml:space="preserve">). Результатом работы </w:t>
      </w:r>
      <w:r w:rsidR="007F284B">
        <w:rPr>
          <w:sz w:val="28"/>
          <w:szCs w:val="28"/>
        </w:rPr>
        <w:t>Комиссия</w:t>
      </w:r>
      <w:r w:rsidRPr="002E19CD">
        <w:rPr>
          <w:sz w:val="28"/>
          <w:szCs w:val="28"/>
        </w:rPr>
        <w:t xml:space="preserve"> по рассмотрению проекта Генерального плана является протокол заседания </w:t>
      </w:r>
      <w:r w:rsidR="007F284B">
        <w:rPr>
          <w:sz w:val="28"/>
          <w:szCs w:val="28"/>
        </w:rPr>
        <w:t>Комиссии</w:t>
      </w:r>
      <w:r w:rsidRPr="002E19CD">
        <w:rPr>
          <w:sz w:val="28"/>
          <w:szCs w:val="28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3" w:name="P62"/>
      <w:bookmarkEnd w:id="3"/>
      <w:r w:rsidRPr="00076B77">
        <w:rPr>
          <w:sz w:val="28"/>
          <w:szCs w:val="28"/>
        </w:rPr>
        <w:t xml:space="preserve">15. К полномочиям </w:t>
      </w:r>
      <w:r w:rsidR="007F284B">
        <w:rPr>
          <w:sz w:val="28"/>
          <w:szCs w:val="28"/>
        </w:rPr>
        <w:t>Комиссии</w:t>
      </w:r>
      <w:r w:rsidRPr="00076B77">
        <w:rPr>
          <w:sz w:val="28"/>
          <w:szCs w:val="28"/>
        </w:rPr>
        <w:t xml:space="preserve"> относятся: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1) рассмотрение проекта Генерального плана;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2) рассмотрение предложений о внесении изменений в Генеральный план;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3) подготовка предложений о внесении изменений в Генеральный план;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4) подготовка рекомендаций о внесении изменений в Генеральный план или их отклонении.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16. Положение </w:t>
      </w:r>
      <w:proofErr w:type="gramStart"/>
      <w:r w:rsidRPr="00076B77">
        <w:rPr>
          <w:sz w:val="28"/>
          <w:szCs w:val="28"/>
        </w:rPr>
        <w:t>о</w:t>
      </w:r>
      <w:proofErr w:type="gramEnd"/>
      <w:r w:rsidRPr="00076B77">
        <w:rPr>
          <w:sz w:val="28"/>
          <w:szCs w:val="28"/>
        </w:rPr>
        <w:t xml:space="preserve"> </w:t>
      </w:r>
      <w:proofErr w:type="gramStart"/>
      <w:r w:rsidR="007F284B">
        <w:rPr>
          <w:sz w:val="28"/>
          <w:szCs w:val="28"/>
        </w:rPr>
        <w:t>Комиссия</w:t>
      </w:r>
      <w:proofErr w:type="gramEnd"/>
      <w:r w:rsidRPr="00076B77">
        <w:rPr>
          <w:sz w:val="28"/>
          <w:szCs w:val="28"/>
        </w:rPr>
        <w:t xml:space="preserve"> и его состав утверждаются нормативным правовым актом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>.</w:t>
      </w:r>
      <w:r w:rsidR="00C80CF5">
        <w:rPr>
          <w:sz w:val="28"/>
          <w:szCs w:val="28"/>
        </w:rPr>
        <w:t xml:space="preserve"> </w:t>
      </w:r>
      <w:r w:rsidR="00C80CF5" w:rsidRPr="00C80CF5">
        <w:rPr>
          <w:color w:val="333333"/>
          <w:sz w:val="28"/>
          <w:szCs w:val="28"/>
          <w:shd w:val="clear" w:color="auto" w:fill="FFFFFF"/>
        </w:rPr>
        <w:t>Образование такой комиссии возможно на основании постановления о подготовке проекта генерального плана</w:t>
      </w:r>
      <w:r w:rsidR="00C80CF5">
        <w:rPr>
          <w:color w:val="333333"/>
          <w:sz w:val="28"/>
          <w:szCs w:val="28"/>
          <w:shd w:val="clear" w:color="auto" w:fill="FFFFFF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17. Проект Генерального плана до его утверждения подлежит обязательному согласованию в порядке, установленном </w:t>
      </w:r>
      <w:hyperlink r:id="rId11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статьей 25</w:t>
        </w:r>
      </w:hyperlink>
      <w:r w:rsidRPr="00076B77">
        <w:rPr>
          <w:sz w:val="28"/>
          <w:szCs w:val="28"/>
        </w:rPr>
        <w:t xml:space="preserve"> Градостроительного кодекса Российской Федерации, посредством размещения проекта Генерального плана в Федеральной государственной информационной системе территориального планирования и направления соответствующего уведомления об обеспечении доступа к проекту документа в уполномоченные органы.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18. Проект Генерального плана подлежит обязательному рассмотрению на публичных слушаниях, проводимых в соответствии со </w:t>
      </w:r>
      <w:hyperlink r:id="rId12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6F6064">
          <w:rPr>
            <w:color w:val="0000FF"/>
            <w:sz w:val="28"/>
            <w:szCs w:val="28"/>
          </w:rPr>
          <w:t>статьями 5.1</w:t>
        </w:r>
      </w:hyperlink>
      <w:r w:rsidRPr="006F6064">
        <w:rPr>
          <w:sz w:val="28"/>
          <w:szCs w:val="28"/>
        </w:rPr>
        <w:t xml:space="preserve">, </w:t>
      </w:r>
      <w:hyperlink r:id="rId13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6F6064">
          <w:rPr>
            <w:color w:val="0000FF"/>
            <w:sz w:val="28"/>
            <w:szCs w:val="28"/>
          </w:rPr>
          <w:t>28</w:t>
        </w:r>
      </w:hyperlink>
      <w:r w:rsidRPr="00076B77">
        <w:rPr>
          <w:sz w:val="28"/>
          <w:szCs w:val="28"/>
        </w:rPr>
        <w:t xml:space="preserve"> Градостроительного кодекса Российской Федерации, </w:t>
      </w:r>
      <w:hyperlink r:id="rId14" w:tooltip="Решение Думы городского округа &quot;Город Чита&quot; от 28.06.2018 N 78 (ред. от 24.09.2020) &quot;О принятии Положения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&quot;Гор">
        <w:r w:rsidRPr="00076B77">
          <w:rPr>
            <w:color w:val="0000FF"/>
            <w:sz w:val="28"/>
            <w:szCs w:val="28"/>
          </w:rPr>
          <w:t>Положением</w:t>
        </w:r>
      </w:hyperlink>
      <w:r w:rsidRPr="00076B77">
        <w:rPr>
          <w:sz w:val="28"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503DE5" w:rsidRPr="00076B77">
        <w:rPr>
          <w:sz w:val="28"/>
          <w:szCs w:val="28"/>
        </w:rPr>
        <w:t>муниципального округа</w:t>
      </w:r>
      <w:r w:rsidR="00C76070">
        <w:rPr>
          <w:sz w:val="28"/>
          <w:szCs w:val="28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Публичные слушания назначаются главой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Предложения и замечания, соответствующие установленным градостроительным законодательством требованиям, поступившие в ходе публичных слушаний, должны быть рассмотрены организатором в течение 3 рабочих дней.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4" w:name="P73"/>
      <w:bookmarkEnd w:id="4"/>
      <w:r w:rsidRPr="00076B77">
        <w:rPr>
          <w:sz w:val="28"/>
          <w:szCs w:val="28"/>
        </w:rPr>
        <w:t>19. Заинтересованные лица вправе представить свои предложения по проекту Генерального плана.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20. Протокол публичных слушаний по проекту Генерального плана, заключение о результатах таких публичных слушаний являются обязательным приложением к проекту Генерального плана, направляемому руководителем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в </w:t>
      </w:r>
      <w:r w:rsidR="00F8525D" w:rsidRPr="00F8525D">
        <w:rPr>
          <w:sz w:val="28"/>
          <w:szCs w:val="28"/>
        </w:rPr>
        <w:t>представительн</w:t>
      </w:r>
      <w:r w:rsidR="00F8525D">
        <w:rPr>
          <w:sz w:val="28"/>
          <w:szCs w:val="28"/>
        </w:rPr>
        <w:t>ый орган</w:t>
      </w:r>
      <w:r w:rsidR="00F8525D" w:rsidRPr="00F8525D">
        <w:rPr>
          <w:sz w:val="28"/>
          <w:szCs w:val="28"/>
        </w:rPr>
        <w:t xml:space="preserve"> муниципального </w:t>
      </w:r>
      <w:r w:rsidR="00503DE5" w:rsidRPr="00076B77">
        <w:rPr>
          <w:sz w:val="28"/>
          <w:szCs w:val="28"/>
        </w:rPr>
        <w:t>округа</w:t>
      </w:r>
      <w:r w:rsidRPr="00076B77">
        <w:rPr>
          <w:sz w:val="28"/>
          <w:szCs w:val="28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21. Генеральный план утверждается </w:t>
      </w:r>
      <w:r w:rsidR="00F8525D" w:rsidRPr="00F8525D">
        <w:rPr>
          <w:sz w:val="28"/>
          <w:szCs w:val="28"/>
        </w:rPr>
        <w:t>представительн</w:t>
      </w:r>
      <w:r w:rsidR="00F8525D">
        <w:rPr>
          <w:sz w:val="28"/>
          <w:szCs w:val="28"/>
        </w:rPr>
        <w:t>ым органом</w:t>
      </w:r>
      <w:r w:rsidR="00F8525D" w:rsidRPr="00F8525D">
        <w:rPr>
          <w:sz w:val="28"/>
          <w:szCs w:val="28"/>
        </w:rPr>
        <w:t xml:space="preserve"> муниципального </w:t>
      </w:r>
      <w:r w:rsidR="00F8525D" w:rsidRPr="00076B77">
        <w:rPr>
          <w:sz w:val="28"/>
          <w:szCs w:val="28"/>
        </w:rPr>
        <w:t>округа</w:t>
      </w:r>
      <w:r w:rsidR="00F8525D">
        <w:rPr>
          <w:sz w:val="28"/>
          <w:szCs w:val="28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lastRenderedPageBreak/>
        <w:t>22. Утвержденный Генеральный план подлежит опубликованию в порядке, установленном для официального опубликования муниципальных правовых актов, размещению в Федеральной государственной информационной системе территориального планирования в установленные законом сроки, а также на о</w:t>
      </w:r>
      <w:r w:rsidR="00F8525D">
        <w:rPr>
          <w:sz w:val="28"/>
          <w:szCs w:val="28"/>
        </w:rPr>
        <w:t xml:space="preserve">фициальном сайте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в сети "Интернет".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23. Внесение изменений в Генеральный план осуществляется в соответствии со </w:t>
      </w:r>
      <w:hyperlink r:id="rId15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статьями 9</w:t>
        </w:r>
      </w:hyperlink>
      <w:r w:rsidRPr="00076B77">
        <w:rPr>
          <w:sz w:val="28"/>
          <w:szCs w:val="28"/>
        </w:rPr>
        <w:t xml:space="preserve">, </w:t>
      </w:r>
      <w:hyperlink r:id="rId16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24</w:t>
        </w:r>
      </w:hyperlink>
      <w:r w:rsidRPr="00076B77">
        <w:rPr>
          <w:sz w:val="28"/>
          <w:szCs w:val="28"/>
        </w:rPr>
        <w:t xml:space="preserve">, </w:t>
      </w:r>
      <w:hyperlink r:id="rId17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25</w:t>
        </w:r>
      </w:hyperlink>
      <w:r w:rsidRPr="00076B77">
        <w:rPr>
          <w:sz w:val="28"/>
          <w:szCs w:val="28"/>
        </w:rPr>
        <w:t xml:space="preserve"> Градостроительного кодекса РФ.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5" w:name="P78"/>
      <w:bookmarkEnd w:id="5"/>
      <w:r w:rsidRPr="00076B77">
        <w:rPr>
          <w:sz w:val="28"/>
          <w:szCs w:val="28"/>
        </w:rPr>
        <w:t>24. Внесение изменений в Генеральный план осуществляется на основании предложений органов государственной власти, органов местного самоуправления, заинтересованных физических и юридических лиц в порядке, определенном для его подготовки.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Предложения о внесении изменений в Генеральный план направляются в администрацию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с полным обоснованием и документами, подтверждающими необходимость внесения изменений.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6" w:name="P81"/>
      <w:bookmarkEnd w:id="6"/>
      <w:r w:rsidRPr="00076B77">
        <w:rPr>
          <w:sz w:val="28"/>
          <w:szCs w:val="28"/>
        </w:rPr>
        <w:t>25. В течение 10 рабочих дней с даты регистрации поступивших предложений о внесении изменений в Генеральный план уполномоченным органом дается заключение о необходимости либо отсутствии необходимости внесения изменений. В случае отсутствия необходимости заявителю в течение 5 рабочих дней направляется ответ с обоснованием позиции.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26. В случае</w:t>
      </w:r>
      <w:proofErr w:type="gramStart"/>
      <w:r w:rsidRPr="00076B77">
        <w:rPr>
          <w:sz w:val="28"/>
          <w:szCs w:val="28"/>
        </w:rPr>
        <w:t>,</w:t>
      </w:r>
      <w:proofErr w:type="gramEnd"/>
      <w:r w:rsidRPr="00076B77">
        <w:rPr>
          <w:sz w:val="28"/>
          <w:szCs w:val="28"/>
        </w:rPr>
        <w:t xml:space="preserve"> если предложения о внесении изменений в Генеральный план обоснованы и дано заключение, указанное в </w:t>
      </w:r>
      <w:hyperlink w:anchor="P81" w:tooltip="25. В течение 10 рабочих дней с даты регистрации поступивших предложений о внесении изменений в Генеральный план уполномоченным органом дается заключение о необходимости либо отсутствии необходимости внесения изменений. В случае отсутствия необходимости заявит">
        <w:r w:rsidRPr="00076B77">
          <w:rPr>
            <w:color w:val="0000FF"/>
            <w:sz w:val="28"/>
            <w:szCs w:val="28"/>
          </w:rPr>
          <w:t>пункте 25</w:t>
        </w:r>
      </w:hyperlink>
      <w:r w:rsidRPr="00076B77">
        <w:rPr>
          <w:sz w:val="28"/>
          <w:szCs w:val="28"/>
        </w:rPr>
        <w:t xml:space="preserve"> настоящего Положения, о необходимости внесения изменений, уполномоченный орган в течение 5 рабочих дней направляет эти предложения для рассмотрения в </w:t>
      </w:r>
      <w:r w:rsidR="00C80CF5" w:rsidRPr="00C80CF5">
        <w:rPr>
          <w:sz w:val="28"/>
          <w:szCs w:val="28"/>
        </w:rPr>
        <w:t>Комиссию</w:t>
      </w:r>
      <w:r w:rsidRPr="00C80CF5">
        <w:rPr>
          <w:sz w:val="28"/>
          <w:szCs w:val="28"/>
        </w:rPr>
        <w:t>.</w:t>
      </w:r>
    </w:p>
    <w:p w:rsidR="00304377" w:rsidRPr="00076B77" w:rsidRDefault="00C80CF5">
      <w:pPr>
        <w:pStyle w:val="ConsPlusNormal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Комиссией</w:t>
      </w:r>
      <w:r w:rsidR="00323DAF" w:rsidRPr="00076B77">
        <w:rPr>
          <w:sz w:val="28"/>
          <w:szCs w:val="28"/>
        </w:rPr>
        <w:t xml:space="preserve"> поступившие предложения должны быть рассмотрены в течение 20 рабочих дней. Результаты рассмотрения предложений оформляются протоколом.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27. Решение о подготовке предложений о внесении изменений в Генеральный план, принятое в порядке, определенном </w:t>
      </w:r>
      <w:hyperlink w:anchor="P53" w:tooltip="7. Решение о подготовке проекта Генерального плана, внесения в него изменений, а также решение о подготовке предложений о внесении изменений в Генеральный план принимаются руководителем администрации городского округа в форме постановления. Постановление подле">
        <w:r w:rsidRPr="00076B77">
          <w:rPr>
            <w:color w:val="0000FF"/>
            <w:sz w:val="28"/>
            <w:szCs w:val="28"/>
          </w:rPr>
          <w:t>пунктом 7</w:t>
        </w:r>
      </w:hyperlink>
      <w:r w:rsidRPr="00076B77">
        <w:rPr>
          <w:sz w:val="28"/>
          <w:szCs w:val="28"/>
        </w:rPr>
        <w:t xml:space="preserve"> настоящего Положения, должно содержать последовательный план мероприятий по внесению изменений в Генеральный план, а также соответствующие поручения уполномоченным отраслевым (функциональным) органам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>.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28. В случаях, определенных </w:t>
      </w:r>
      <w:hyperlink r:id="rId18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статьей 24</w:t>
        </w:r>
      </w:hyperlink>
      <w:r w:rsidRPr="00076B77">
        <w:rPr>
          <w:sz w:val="28"/>
          <w:szCs w:val="28"/>
        </w:rPr>
        <w:t xml:space="preserve"> Градостроительного кодекса РФ, администрацией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создается комиссия, состав, порядок деятельности и полномочия которой определяются Градостроительным </w:t>
      </w:r>
      <w:hyperlink r:id="rId19" w:tooltip="&quot;Градостроительный кодекс Российской Федерации&quot; от 29.12.2004 N 190-ФЗ (ред. от 26.12.2024) (с изм. и доп., вступ. в силу с 01.01.2025) ------------ Недействующая редакция {КонсультантПлюс}">
        <w:r w:rsidRPr="00076B77">
          <w:rPr>
            <w:color w:val="0000FF"/>
            <w:sz w:val="28"/>
            <w:szCs w:val="28"/>
          </w:rPr>
          <w:t>кодексом</w:t>
        </w:r>
      </w:hyperlink>
      <w:r w:rsidRPr="00076B77">
        <w:rPr>
          <w:sz w:val="28"/>
          <w:szCs w:val="28"/>
        </w:rPr>
        <w:t xml:space="preserve"> РФ.</w:t>
      </w:r>
    </w:p>
    <w:p w:rsidR="00304377" w:rsidRDefault="00304377">
      <w:pPr>
        <w:pStyle w:val="ConsPlusNormal0"/>
        <w:jc w:val="both"/>
        <w:rPr>
          <w:sz w:val="28"/>
          <w:szCs w:val="28"/>
        </w:rPr>
      </w:pPr>
    </w:p>
    <w:p w:rsidR="006C262E" w:rsidRPr="00076B77" w:rsidRDefault="006C262E" w:rsidP="006C262E">
      <w:pPr>
        <w:pStyle w:val="ConsPlusNormal0"/>
        <w:jc w:val="center"/>
        <w:rPr>
          <w:sz w:val="28"/>
          <w:szCs w:val="28"/>
        </w:rPr>
      </w:pPr>
      <w:r>
        <w:rPr>
          <w:sz w:val="28"/>
          <w:szCs w:val="28"/>
        </w:rPr>
        <w:t>4. Состав и порядок подготовки плана реализации генерального плана</w:t>
      </w:r>
    </w:p>
    <w:p w:rsidR="00304377" w:rsidRPr="00076B77" w:rsidRDefault="00304377">
      <w:pPr>
        <w:pStyle w:val="ConsPlusNormal0"/>
        <w:jc w:val="both"/>
        <w:rPr>
          <w:sz w:val="28"/>
          <w:szCs w:val="28"/>
        </w:rPr>
      </w:pPr>
    </w:p>
    <w:p w:rsidR="00304377" w:rsidRPr="00076B77" w:rsidRDefault="00323DAF">
      <w:pPr>
        <w:pStyle w:val="ConsPlusNormal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29. Реализация Генерального плана осуществляется путем: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1) подготовки и утверждения документации по планировке территории в </w:t>
      </w:r>
      <w:r w:rsidRPr="00076B77">
        <w:rPr>
          <w:sz w:val="28"/>
          <w:szCs w:val="28"/>
        </w:rPr>
        <w:lastRenderedPageBreak/>
        <w:t>соответствии с Генеральным планом;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2) принятия в порядке, установленном законодательством Российской Федерации, решений о резервировании земель, об изъятии земельных участков для государственных и муниципальных нужд, о переводе земель или земельных участков из одной категории в другую;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>3) создания объектов федерального значения, регионального значения и местного значения на основании документации по планировке территории;</w:t>
      </w:r>
    </w:p>
    <w:p w:rsidR="00304377" w:rsidRPr="00076B77" w:rsidRDefault="00323DAF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076B77">
        <w:rPr>
          <w:sz w:val="28"/>
          <w:szCs w:val="28"/>
        </w:rPr>
        <w:t xml:space="preserve">4) выполнения мероприятий, которые предусмотрены муниципальными программами, реализуемыми за счет средств бюджета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, или нормативными правовыми актами администрации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, или в установленном администрацией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порядке решениями главных распорядителей средств местного бюджета, программой комплексного развития систем коммунальной инфраструктуры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, программой комплексного развития транспортной инфраструктуры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, программой комплексного развития социальной инфраструктуры </w:t>
      </w:r>
      <w:r w:rsidR="00503DE5" w:rsidRPr="00076B77">
        <w:rPr>
          <w:sz w:val="28"/>
          <w:szCs w:val="28"/>
        </w:rPr>
        <w:t>муниципального округа</w:t>
      </w:r>
      <w:r w:rsidRPr="00076B77">
        <w:rPr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p w:rsidR="007048FF" w:rsidRPr="00076B77" w:rsidRDefault="007048FF">
      <w:pPr>
        <w:pStyle w:val="ConsPlusNormal0"/>
        <w:jc w:val="right"/>
        <w:outlineLvl w:val="0"/>
        <w:rPr>
          <w:sz w:val="28"/>
          <w:szCs w:val="28"/>
        </w:rPr>
      </w:pPr>
    </w:p>
    <w:sectPr w:rsidR="007048FF" w:rsidRPr="00076B77" w:rsidSect="007B11E8">
      <w:footerReference w:type="first" r:id="rId20"/>
      <w:pgSz w:w="11906" w:h="16838"/>
      <w:pgMar w:top="993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F1" w:rsidRDefault="003700F1">
      <w:r>
        <w:separator/>
      </w:r>
    </w:p>
  </w:endnote>
  <w:endnote w:type="continuationSeparator" w:id="0">
    <w:p w:rsidR="003700F1" w:rsidRDefault="0037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377" w:rsidRDefault="00323DA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F1" w:rsidRDefault="003700F1">
      <w:r>
        <w:separator/>
      </w:r>
    </w:p>
  </w:footnote>
  <w:footnote w:type="continuationSeparator" w:id="0">
    <w:p w:rsidR="003700F1" w:rsidRDefault="0037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4377"/>
    <w:rsid w:val="0002518C"/>
    <w:rsid w:val="00076B77"/>
    <w:rsid w:val="00093DCE"/>
    <w:rsid w:val="000967A5"/>
    <w:rsid w:val="000D3DF6"/>
    <w:rsid w:val="001439D6"/>
    <w:rsid w:val="00176002"/>
    <w:rsid w:val="001914EC"/>
    <w:rsid w:val="001A6277"/>
    <w:rsid w:val="001C250D"/>
    <w:rsid w:val="00225EA6"/>
    <w:rsid w:val="002620BF"/>
    <w:rsid w:val="002B14AA"/>
    <w:rsid w:val="002D5E22"/>
    <w:rsid w:val="002E19CD"/>
    <w:rsid w:val="002E3F03"/>
    <w:rsid w:val="00304377"/>
    <w:rsid w:val="00323DAF"/>
    <w:rsid w:val="00361287"/>
    <w:rsid w:val="00362B78"/>
    <w:rsid w:val="003656F7"/>
    <w:rsid w:val="00366B75"/>
    <w:rsid w:val="003700F1"/>
    <w:rsid w:val="00392C61"/>
    <w:rsid w:val="003C221F"/>
    <w:rsid w:val="00467D42"/>
    <w:rsid w:val="00503DE5"/>
    <w:rsid w:val="00611571"/>
    <w:rsid w:val="00616BB1"/>
    <w:rsid w:val="00635DED"/>
    <w:rsid w:val="006C2363"/>
    <w:rsid w:val="006C262E"/>
    <w:rsid w:val="006D5D83"/>
    <w:rsid w:val="006F6064"/>
    <w:rsid w:val="007048FF"/>
    <w:rsid w:val="007139B4"/>
    <w:rsid w:val="00723B4C"/>
    <w:rsid w:val="00760635"/>
    <w:rsid w:val="00796709"/>
    <w:rsid w:val="007A3BAF"/>
    <w:rsid w:val="007B11E8"/>
    <w:rsid w:val="007D221E"/>
    <w:rsid w:val="007F284B"/>
    <w:rsid w:val="008F4F4C"/>
    <w:rsid w:val="00923CB0"/>
    <w:rsid w:val="00987C87"/>
    <w:rsid w:val="009B3A68"/>
    <w:rsid w:val="009C6C61"/>
    <w:rsid w:val="009D72F3"/>
    <w:rsid w:val="009D7FED"/>
    <w:rsid w:val="00A42621"/>
    <w:rsid w:val="00A4314A"/>
    <w:rsid w:val="00A85C92"/>
    <w:rsid w:val="00B542D8"/>
    <w:rsid w:val="00B72967"/>
    <w:rsid w:val="00BE6C0B"/>
    <w:rsid w:val="00C074CB"/>
    <w:rsid w:val="00C76070"/>
    <w:rsid w:val="00C80CF5"/>
    <w:rsid w:val="00C96976"/>
    <w:rsid w:val="00CB1A21"/>
    <w:rsid w:val="00CD3B93"/>
    <w:rsid w:val="00CF5137"/>
    <w:rsid w:val="00D0153B"/>
    <w:rsid w:val="00D374A2"/>
    <w:rsid w:val="00D37752"/>
    <w:rsid w:val="00D41AAB"/>
    <w:rsid w:val="00DD58C7"/>
    <w:rsid w:val="00EA0960"/>
    <w:rsid w:val="00F1705C"/>
    <w:rsid w:val="00F71C62"/>
    <w:rsid w:val="00F8525D"/>
    <w:rsid w:val="00FA5243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6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656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656F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656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656F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656F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656F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656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656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3656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3656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656F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656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656F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656F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656F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656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3656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542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42D8"/>
  </w:style>
  <w:style w:type="paragraph" w:styleId="a5">
    <w:name w:val="footer"/>
    <w:basedOn w:val="a"/>
    <w:link w:val="a6"/>
    <w:uiPriority w:val="99"/>
    <w:unhideWhenUsed/>
    <w:rsid w:val="00B542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42D8"/>
  </w:style>
  <w:style w:type="paragraph" w:customStyle="1" w:styleId="1">
    <w:name w:val="Без интервала1"/>
    <w:rsid w:val="00987C87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87C87"/>
  </w:style>
  <w:style w:type="character" w:styleId="a8">
    <w:name w:val="footnote reference"/>
    <w:rsid w:val="00987C87"/>
    <w:rPr>
      <w:vertAlign w:val="superscript"/>
    </w:rPr>
  </w:style>
  <w:style w:type="paragraph" w:styleId="a9">
    <w:name w:val="footnote text"/>
    <w:basedOn w:val="a"/>
    <w:link w:val="aa"/>
    <w:rsid w:val="00987C87"/>
    <w:pPr>
      <w:suppressLineNumbers/>
      <w:suppressAutoHyphens/>
      <w:ind w:left="339" w:hanging="339"/>
    </w:pPr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character" w:customStyle="1" w:styleId="aa">
    <w:name w:val="Текст сноски Знак"/>
    <w:basedOn w:val="a0"/>
    <w:link w:val="a9"/>
    <w:rsid w:val="00987C87"/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paragraph" w:styleId="ab">
    <w:name w:val="List Paragraph"/>
    <w:basedOn w:val="a"/>
    <w:uiPriority w:val="34"/>
    <w:qFormat/>
    <w:rsid w:val="009D72F3"/>
    <w:pPr>
      <w:spacing w:after="200" w:line="276" w:lineRule="auto"/>
      <w:ind w:left="720"/>
      <w:contextualSpacing/>
    </w:pPr>
  </w:style>
  <w:style w:type="character" w:styleId="ac">
    <w:name w:val="Hyperlink"/>
    <w:basedOn w:val="a0"/>
    <w:uiPriority w:val="99"/>
    <w:unhideWhenUsed/>
    <w:rsid w:val="00C96976"/>
    <w:rPr>
      <w:color w:val="0563C1" w:themeColor="hyperlink"/>
      <w:u w:val="single"/>
    </w:rPr>
  </w:style>
  <w:style w:type="paragraph" w:customStyle="1" w:styleId="Default">
    <w:name w:val="Default"/>
    <w:rsid w:val="00C9697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7F284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F60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6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5864&amp;date=04.03.2025" TargetMode="External"/><Relationship Id="rId13" Type="http://schemas.openxmlformats.org/officeDocument/2006/relationships/hyperlink" Target="https://login.consultant.ru/link/?req=doc&amp;base=LAW&amp;n=494926&amp;date=04.03.2025&amp;dst=4250&amp;field=134" TargetMode="External"/><Relationship Id="rId18" Type="http://schemas.openxmlformats.org/officeDocument/2006/relationships/hyperlink" Target="https://login.consultant.ru/link/?req=doc&amp;base=LAW&amp;n=494926&amp;date=04.03.2025&amp;dst=4211&amp;field=1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926&amp;date=04.03.2025&amp;dst=4186&amp;field=134" TargetMode="External"/><Relationship Id="rId12" Type="http://schemas.openxmlformats.org/officeDocument/2006/relationships/hyperlink" Target="https://login.consultant.ru/link/?req=doc&amp;base=LAW&amp;n=494926&amp;date=04.03.2025&amp;dst=2104&amp;field=134" TargetMode="External"/><Relationship Id="rId17" Type="http://schemas.openxmlformats.org/officeDocument/2006/relationships/hyperlink" Target="https://login.consultant.ru/link/?req=doc&amp;base=LAW&amp;n=494926&amp;date=04.03.2025&amp;dst=4227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26&amp;date=04.03.2025&amp;dst=4211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26&amp;date=04.03.2025&amp;dst=4227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26&amp;date=04.03.2025&amp;dst=101516&amp;field=134" TargetMode="External"/><Relationship Id="rId10" Type="http://schemas.openxmlformats.org/officeDocument/2006/relationships/hyperlink" Target="https://login.consultant.ru/link/?req=doc&amp;base=LAW&amp;n=494926&amp;date=04.03.2025&amp;dst=4211&amp;field=134" TargetMode="External"/><Relationship Id="rId19" Type="http://schemas.openxmlformats.org/officeDocument/2006/relationships/hyperlink" Target="https://login.consultant.ru/link/?req=doc&amp;base=LAW&amp;n=494926&amp;date=04.03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26&amp;date=04.03.2025&amp;dst=101516&amp;field=134" TargetMode="External"/><Relationship Id="rId14" Type="http://schemas.openxmlformats.org/officeDocument/2006/relationships/hyperlink" Target="https://login.consultant.ru/link/?req=doc&amp;base=RLAW251&amp;n=1649177&amp;date=04.03.2025&amp;dst=100020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1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городского округа "Город Чита" от 15.02.2024 N 9
"О принятии Положения о составе и порядке подготовки генерального плана городского округа "Город Чита", порядке подготовки изменений и внесения их в генеральный план, а также составе и порядке </vt:lpstr>
    </vt:vector>
  </TitlesOfParts>
  <Company>КонсультантПлюс Версия 4024.00.50</Company>
  <LinksUpToDate>false</LinksUpToDate>
  <CharactersWithSpaces>17699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городского округа "Город Чита" от 15.02.2024 N 9
"О принятии Положения о составе и порядке подготовки генерального плана городского округа "Город Чита", порядке подготовки изменений и внесения их в генеральный план, а также составе и порядке подготовки плана реализации генерального плана городского округа "Город Чита"</dc:title>
  <dc:creator>Марина В. Степанова</dc:creator>
  <cp:lastModifiedBy>Admin-Khilok</cp:lastModifiedBy>
  <cp:revision>26</cp:revision>
  <cp:lastPrinted>2025-12-23T06:42:00Z</cp:lastPrinted>
  <dcterms:created xsi:type="dcterms:W3CDTF">2025-03-04T08:24:00Z</dcterms:created>
  <dcterms:modified xsi:type="dcterms:W3CDTF">2025-12-23T22:50:00Z</dcterms:modified>
</cp:coreProperties>
</file>