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Забайкальского края от 30.06.2015 N 1194-ЗЗК</w:t>
              <w:br/>
              <w:t xml:space="preserve">(ред. от 04.12.2025)</w:t>
              <w:br/>
              <w:t xml:space="preserve">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</w:t>
              <w:br/>
              <w:t xml:space="preserve">(принят Законодательным Собранием Забайкальского края 10.06.2015)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 июня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1194-ЗЗК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КРИТЕРИЕВ, КОТОРЫМ ДОЛЖНЫ СООТВЕТСТВОВАТЬ</w:t>
      </w:r>
    </w:p>
    <w:p>
      <w:pPr>
        <w:pStyle w:val="2"/>
        <w:jc w:val="center"/>
      </w:pPr>
      <w:r>
        <w:rPr>
          <w:sz w:val="24"/>
        </w:rPr>
        <w:t xml:space="preserve">ОБЪЕКТЫ СОЦИАЛЬНО-КУЛЬТУРНОГО И КОММУНАЛЬНО-БЫТОВОГО</w:t>
      </w:r>
    </w:p>
    <w:p>
      <w:pPr>
        <w:pStyle w:val="2"/>
        <w:jc w:val="center"/>
      </w:pPr>
      <w:r>
        <w:rPr>
          <w:sz w:val="24"/>
        </w:rPr>
        <w:t xml:space="preserve">НАЗНАЧЕНИЯ, МАСШТАБНЫЕ ИНВЕСТИЦИОННЫЕ ПРОЕКТЫ, ДЛЯ</w:t>
      </w:r>
    </w:p>
    <w:p>
      <w:pPr>
        <w:pStyle w:val="2"/>
        <w:jc w:val="center"/>
      </w:pPr>
      <w:r>
        <w:rPr>
          <w:sz w:val="24"/>
        </w:rPr>
        <w:t xml:space="preserve">РАЗМЕЩЕНИЯ (РЕАЛИЗАЦИИ) КОТОРЫХ ДОПУСКАЕТСЯ ПРЕДОСТАВЛЕНИЕ</w:t>
      </w:r>
    </w:p>
    <w:p>
      <w:pPr>
        <w:pStyle w:val="2"/>
        <w:jc w:val="center"/>
      </w:pPr>
      <w:r>
        <w:rPr>
          <w:sz w:val="24"/>
        </w:rPr>
        <w:t xml:space="preserve">ЗЕМЕЛЬНЫХ УЧАСТКОВ, НАХОДЯЩИХСЯ В ГОСУДАРСТВЕННОЙ ИЛИ</w:t>
      </w:r>
    </w:p>
    <w:p>
      <w:pPr>
        <w:pStyle w:val="2"/>
        <w:jc w:val="center"/>
      </w:pPr>
      <w:r>
        <w:rPr>
          <w:sz w:val="24"/>
        </w:rPr>
        <w:t xml:space="preserve">МУНИЦИПАЛЬНОЙ СОБСТВЕННОСТИ, В АРЕНДУ 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10 июня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28.12.2015 </w:t>
            </w:r>
            <w:hyperlink w:history="0" r:id="rId8" w:tooltip="Закон Забайкальского края от 28.12.2015 N 1280-ЗЗК (ред. от 30.11.2016) &quot;О внесении изменений в отдельные законы Забайкальского края&quot; (принят Законодательным Собранием Забайкальского края 09.12.2015) {КонсультантПлюс}">
              <w:r>
                <w:rPr>
                  <w:sz w:val="24"/>
                  <w:color w:val="0000ff"/>
                </w:rPr>
                <w:t xml:space="preserve">N 1280-ЗЗК</w:t>
              </w:r>
            </w:hyperlink>
            <w:r>
              <w:rPr>
                <w:sz w:val="24"/>
                <w:color w:val="392c69"/>
              </w:rPr>
              <w:t xml:space="preserve">, от 04.07.2016 </w:t>
            </w:r>
            <w:hyperlink w:history="0" r:id="rId9" w:tooltip="Закон Забайкальского края от 04.07.2016 N 1361-ЗЗК &quot;О внесении изменений в статьи 2 и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 {КонсультантПлюс}">
              <w:r>
                <w:rPr>
                  <w:sz w:val="24"/>
                  <w:color w:val="0000ff"/>
                </w:rPr>
                <w:t xml:space="preserve">N 1361-ЗЗК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27.10.2016 </w:t>
            </w:r>
            <w:hyperlink w:history="0" r:id="rId10" w:tooltip="Закон Забайкальского края от 27.10.2016 N 1395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 {КонсультантПлюс}">
              <w:r>
                <w:rPr>
                  <w:sz w:val="24"/>
                  <w:color w:val="0000ff"/>
                </w:rPr>
                <w:t xml:space="preserve">N 1395-ЗЗК</w:t>
              </w:r>
            </w:hyperlink>
            <w:r>
              <w:rPr>
                <w:sz w:val="24"/>
                <w:color w:val="392c69"/>
              </w:rPr>
              <w:t xml:space="preserve">, от 30.11.2016 </w:t>
            </w:r>
            <w:hyperlink w:history="0" r:id="rId11" w:tooltip="Закон Забайкальского края от 30.11.2016 N 1411-ЗЗК &quot;О внесении изменений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 {КонсультантПлюс}">
              <w:r>
                <w:rPr>
                  <w:sz w:val="24"/>
                  <w:color w:val="0000ff"/>
                </w:rPr>
                <w:t xml:space="preserve">N 1411-ЗЗК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02.05.2017 </w:t>
            </w:r>
            <w:hyperlink w:history="0" r:id="rId12" w:tooltip="Закон Забайкальского края от 02.05.2017 N 1470-ЗЗК &quot;О признании утратившим силу пункта 6 части 1 статьи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 {КонсультантПлюс}">
              <w:r>
                <w:rPr>
                  <w:sz w:val="24"/>
                  <w:color w:val="0000ff"/>
                </w:rPr>
                <w:t xml:space="preserve">N 1470-ЗЗК</w:t>
              </w:r>
            </w:hyperlink>
            <w:r>
              <w:rPr>
                <w:sz w:val="24"/>
                <w:color w:val="392c69"/>
              </w:rPr>
              <w:t xml:space="preserve">, от 18.07.2017 </w:t>
            </w:r>
            <w:hyperlink w:history="0" r:id="rId13" w:tooltip="Закон Забайкальского края от 18.07.2017 N 1495-ЗЗК &quot;О внесении изменений в отдельные законы Забайкальского края&quot; (принят Законодательным Собранием Забайкальского края 05.07.2017) {КонсультантПлюс}">
              <w:r>
                <w:rPr>
                  <w:sz w:val="24"/>
                  <w:color w:val="0000ff"/>
                </w:rPr>
                <w:t xml:space="preserve">N 1495-ЗЗК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04.05.2018 </w:t>
            </w:r>
            <w:hyperlink w:history="0" r:id="rId14" w:tooltip="Закон Забайкальского края от 04.05.2018 N 1595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 {КонсультантПлюс}">
              <w:r>
                <w:rPr>
                  <w:sz w:val="24"/>
                  <w:color w:val="0000ff"/>
                </w:rPr>
                <w:t xml:space="preserve">N 1595-ЗЗК</w:t>
              </w:r>
            </w:hyperlink>
            <w:r>
              <w:rPr>
                <w:sz w:val="24"/>
                <w:color w:val="392c69"/>
              </w:rPr>
              <w:t xml:space="preserve">, от 17.07.2018 </w:t>
            </w:r>
            <w:hyperlink w:history="0" r:id="rId15" w:tooltip="Закон Забайкальского края от 17.07.2018 N 1636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 {КонсультантПлюс}">
              <w:r>
                <w:rPr>
                  <w:sz w:val="24"/>
                  <w:color w:val="0000ff"/>
                </w:rPr>
                <w:t xml:space="preserve">N 1636-ЗЗК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03.12.2018 </w:t>
            </w:r>
            <w:hyperlink w:history="0" r:id="rId16" w:tooltip="Закон Забайкальского края от 03.12.2018 N 1659-ЗЗК &quot;О внесении изменений в отдельные законы Забайкальского края&quot; (принят Законодательным Собранием Забайкальского края 21.11.2018) {КонсультантПлюс}">
              <w:r>
                <w:rPr>
                  <w:sz w:val="24"/>
                  <w:color w:val="0000ff"/>
                </w:rPr>
                <w:t xml:space="preserve">N 1659-ЗЗК</w:t>
              </w:r>
            </w:hyperlink>
            <w:r>
              <w:rPr>
                <w:sz w:val="24"/>
                <w:color w:val="392c69"/>
              </w:rPr>
              <w:t xml:space="preserve">, от 21.06.2019 </w:t>
            </w:r>
            <w:hyperlink w:history="0" r:id="rId17" w:tooltip="Закон Забайкальского края от 21.06.2019 N 1740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 {КонсультантПлюс}">
              <w:r>
                <w:rPr>
                  <w:sz w:val="24"/>
                  <w:color w:val="0000ff"/>
                </w:rPr>
                <w:t xml:space="preserve">N 1740-ЗЗК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16.06.2020 </w:t>
            </w:r>
            <w:hyperlink w:history="0" r:id="rId18" w:tooltip="Закон Забайкальского края от 16.06.2020 N 1832-ЗЗК &quot;О внесении изменений в Закон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 {КонсультантПлюс}">
              <w:r>
                <w:rPr>
                  <w:sz w:val="24"/>
                  <w:color w:val="0000ff"/>
                </w:rPr>
                <w:t xml:space="preserve">N 1832-ЗЗК</w:t>
              </w:r>
            </w:hyperlink>
            <w:r>
              <w:rPr>
                <w:sz w:val="24"/>
                <w:color w:val="392c69"/>
              </w:rPr>
              <w:t xml:space="preserve">, от 12.04.2022 </w:t>
            </w:r>
            <w:hyperlink w:history="0" r:id="rId19" w:tooltip="Закон Забайкальского края от 12.04.2022 N 2059-ЗЗК &quot;О внесении изменений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30.03.2022 {КонсультантПлюс}">
              <w:r>
                <w:rPr>
                  <w:sz w:val="24"/>
                  <w:color w:val="0000ff"/>
                </w:rPr>
                <w:t xml:space="preserve">N 2059-ЗЗК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04.07.2022 </w:t>
            </w:r>
            <w:hyperlink w:history="0" r:id="rId20" w:tooltip="Закон Забайкальского края от 04.07.2022 N 2079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9.06.2022 {КонсультантПлюс}">
              <w:r>
                <w:rPr>
                  <w:sz w:val="24"/>
                  <w:color w:val="0000ff"/>
                </w:rPr>
                <w:t xml:space="preserve">N 2079-ЗЗК</w:t>
              </w:r>
            </w:hyperlink>
            <w:r>
              <w:rPr>
                <w:sz w:val="24"/>
                <w:color w:val="392c69"/>
              </w:rPr>
              <w:t xml:space="preserve">, от 28.12.2022 </w:t>
            </w:r>
            <w:hyperlink w:history="0" r:id="rId21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sz w:val="24"/>
                  <w:color w:val="0000ff"/>
                </w:rPr>
                <w:t xml:space="preserve">N 2141-ЗЗК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13.07.2023 </w:t>
            </w:r>
            <w:hyperlink w:history="0" r:id="rId22" w:tooltip="Закон Забайкальского края от 13.07.2023 N 2237-ЗЗК &quot;О внесении изменений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8.06.2023 {КонсультантПлюс}">
              <w:r>
                <w:rPr>
                  <w:sz w:val="24"/>
                  <w:color w:val="0000ff"/>
                </w:rPr>
                <w:t xml:space="preserve">N 2237-ЗЗК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23" w:tooltip="Закон Забайкальского края от 16.07.2024 N 2384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03.07.2024 {КонсультантПлюс}">
              <w:r>
                <w:rPr>
                  <w:sz w:val="24"/>
                  <w:color w:val="0000ff"/>
                </w:rPr>
                <w:t xml:space="preserve">N 2384-ЗЗК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05.11.2025 </w:t>
            </w:r>
            <w:hyperlink w:history="0" r:id="rId24" w:tooltip="Закон Забайкальского края от 05.11.2025 N 2566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9.10.2025 {КонсультантПлюс}">
              <w:r>
                <w:rPr>
                  <w:sz w:val="24"/>
                  <w:color w:val="0000ff"/>
                </w:rPr>
                <w:t xml:space="preserve">N 2566-ЗЗК</w:t>
              </w:r>
            </w:hyperlink>
            <w:r>
              <w:rPr>
                <w:sz w:val="24"/>
                <w:color w:val="392c69"/>
              </w:rPr>
              <w:t xml:space="preserve">, от 04.12.2025 </w:t>
            </w:r>
            <w:hyperlink w:history="0" r:id="rId25" w:tooltip="Закон Забайкальского края от 04.12.2025 N 2598-ЗЗК &quot;О внесении изменения в статью 2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6.11.2025 {КонсультантПлюс}">
              <w:r>
                <w:rPr>
                  <w:sz w:val="24"/>
                  <w:color w:val="0000ff"/>
                </w:rPr>
                <w:t xml:space="preserve">N 2598-ЗЗК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края в соответствии с </w:t>
      </w:r>
      <w:hyperlink w:history="0" r:id="rId2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подпунктом 3 пункта 2 статьи 39.6</w:t>
        </w:r>
      </w:hyperlink>
      <w:r>
        <w:rPr>
          <w:sz w:val="24"/>
        </w:rPr>
        <w:t xml:space="preserve"> Земельного кодекса Российской Федерации устанавливает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 в соответствии с распоряжением Губернатора Забайкальского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Забайкальского края от 16.06.2020 N 1832-ЗЗК &quot;О внесении изменений в Закон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16.06.2020 N 1832-ЗЗК)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размещения объекта социально-культурного и коммунально-бытового назначения допускается в случае, если такой объект соответствует следующим критериям: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04.07.2016 </w:t>
      </w:r>
      <w:hyperlink w:history="0" r:id="rId28" w:tooltip="Закон Забайкальского края от 04.07.2016 N 1361-ЗЗК &quot;О внесении изменений в статьи 2 и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 {КонсультантПлюс}">
        <w:r>
          <w:rPr>
            <w:sz w:val="24"/>
            <w:color w:val="0000ff"/>
          </w:rPr>
          <w:t xml:space="preserve">N 1361-ЗЗК</w:t>
        </w:r>
      </w:hyperlink>
      <w:r>
        <w:rPr>
          <w:sz w:val="24"/>
        </w:rPr>
        <w:t xml:space="preserve">, от 16.06.2020 </w:t>
      </w:r>
      <w:hyperlink w:history="0" r:id="rId29" w:tooltip="Закон Забайкальского края от 16.06.2020 N 1832-ЗЗК &quot;О внесении изменений в Закон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 {КонсультантПлюс}">
        <w:r>
          <w:rPr>
            <w:sz w:val="24"/>
            <w:color w:val="0000ff"/>
          </w:rPr>
          <w:t xml:space="preserve">N 1832-ЗЗК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 включен в государственную программу Российской Федерации, государственную программу Забайкальского края, краевую адресную инвестиционную программу, муниципальную адресную инвестиционную программу или муниципальную программу;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объект относится к объектам в сфере образования, культуры, туризма, здравоохранения, социального обслуживания, физической культуры и спорта, электроэнергетики, водоснабжения, газоснабжения, теплоснабжения или в сфере обращения с отходами.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Забайкальского края от 04.12.2025 N 2598-ЗЗК &quot;О внесении изменения в статью 2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6.11.2025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04.12.2025 N 2598-ЗЗК)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Соответствие объектов социально-культурного и коммунально-бытового назначения критериям, установленным </w:t>
      </w:r>
      <w:hyperlink w:history="0" w:anchor="P38" w:tooltip="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азмещения объекта социально-культурного и коммунально-бытового назначения допускается в случае, если такой объект соответствует следующим критериям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определяется в порядке, установленном Правительством Забайкальского края.</w:t>
      </w:r>
    </w:p>
    <w:p>
      <w:pPr>
        <w:pStyle w:val="0"/>
        <w:jc w:val="both"/>
      </w:pPr>
      <w:r>
        <w:rPr>
          <w:sz w:val="24"/>
        </w:rPr>
        <w:t xml:space="preserve">(часть 2 введена </w:t>
      </w:r>
      <w:hyperlink w:history="0" r:id="rId31" w:tooltip="Закон Забайкальского края от 04.07.2016 N 1361-ЗЗК &quot;О внесении изменений в статьи 2 и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04.07.2016 N 1361-ЗЗК)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2" w:tooltip="Закон Забайкальского края от 05.11.2025 N 2566-ЗЗК &quot;О внесении изменения в статью 3 Закона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Законодательным Собранием Забайкальского края 29.10.2025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05.11.2025 N 2566-ЗЗК)</w:t>
      </w:r>
    </w:p>
    <w:p>
      <w:pPr>
        <w:pStyle w:val="0"/>
        <w:jc w:val="both"/>
      </w:pPr>
      <w:r>
        <w:rPr>
          <w:sz w:val="24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4"/>
        </w:rPr>
        <w:t xml:space="preserve">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масштабного инвестиционного проекта допускается в случае, если такой инвестиционный проект соответствует с учетом положений </w:t>
      </w:r>
      <w:hyperlink w:history="0" w:anchor="P78" w:tooltip="2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проекта допускается в случае, если проект соответствует не менее чем трем критериям, установленным частью 1 настоящей статьи, при этом один из этих критериев должен относиться к критериям, установленным пунктом 3, либо пунктом 4, либо пунктом 8, либо пунктом 10 части 1 настоящей статьи, если и..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проекту присвоен статус инвестиционного проекта краевого значения или приоритетного инвестиционного проекта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проект реализуется организацией, включенной в реестр участников региональных инвестиционных проектов;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проект включен в государственную программу Российской Федерации, государственную программу Забайкальского края или муниципальную программу;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проект предусматривает реализацию целей, приоритетов и задач стратегии социально-экономического развития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проект реализуется организацией, которая является управляющей компанией индустриального (промышленного) парка, - в отношении земельных участков, которые расположены в границах территории индустриального (промышленного) парка;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проект реализуется организацией, которая является резидентом индустриального (промышленного) парка, - в отношении земельных участков, которые расположены в границах территории индустриального (промышленного) парка;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проект предусматривает строительство на предоставляемом на территории муниципального образования с численностью населения до 100 тыс. человек земельном участке, в том числе при комплексном освоении территории, многоквартирного дома (многоквартирных домов), дома (домов) блокированной застройки и (или) объектов индивидуального жилищного строительства, обеспеченных инженерной и транспортной инфраструктурой, а также в целях реализации публичных полномочий органов государственной власти Забайкальского края по обеспечению жилыми помещениями граждан, указанных в </w:t>
      </w:r>
      <w:hyperlink w:history="0" r:id="rId33" w:tooltip="Закон Забайкальского края от 18.12.2009 N 298-ЗЗК (ред. от 12.11.2025) &quot;О предоставлении жилых помещений жилищного фонда Забайкальского края по договорам социального найма&quot; (принят Законодательным Собранием Забайкальского края 16.12.2009) {КонсультантПлюс}">
        <w:r>
          <w:rPr>
            <w:sz w:val="24"/>
            <w:color w:val="0000ff"/>
          </w:rPr>
          <w:t xml:space="preserve">статье 1</w:t>
        </w:r>
      </w:hyperlink>
      <w:r>
        <w:rPr>
          <w:sz w:val="24"/>
        </w:rPr>
        <w:t xml:space="preserve"> Закона Забайкальского края от 18 декабря 2009 года N 298-ЗЗК "О предоставлении жилых помещений жилищного фонда Забайкальского края по договорам социального найма", граждан, лишившихся жилого помещения в результате чрезвычайных ситуаций, граждан, включая участников специальной военной операции и членов их семей и граждан, относящихся к категории "Дети Великой Отечественной войны", проживающих в ветхих и аварийных жилых помещениях, детей-сирот и детей, оставшихся без попечения родителей, лиц из числа детей-сирот и детей, оставшихся без попечения родителей, и граждан, отнесенных к числу пострадавших соинвесторов в соответствии с </w:t>
      </w:r>
      <w:hyperlink w:history="0" r:id="rId34" w:tooltip="Закон Забайкальского края от 17.06.2014 N 1008-ЗЗК (ред. от 05.12.2023) &quot;О защите прав граждан, инвестировавших денежные средства в строительство многоквартирных домов или приобретение жилых помещений на территории Забайкальского края&quot; (принят Законодательным Собранием Забайкальского края 02.06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17 июня 2014 года N 1008-ЗЗК "О защите прав граждан, инвестировавших денежные средства в строительство многоквартирных домов или приобретение жилых помещений на территории Забайкальского края", или публичных полномочий органов местного самоуправления по обеспечению жилыми помещениями малоимущих граждан, признанных нуждающимися в жилых помещениях, предоставляемых по договорам социального найма, предусматривает безвозмездную передачу соответственно в собственность Забайкальского края либо в муниципальную собственность: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жилых помещений в многоквартирном доме (многоквартирных домах), доме (домах) блокированной застройки, строительство которых предполагается проектом, и (или) равнозначных жилых помещений в другом многоквартирном доме (многоквартирных домах), другом доме (домах) блокированной застройки, площадь которых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10 процентов от общей площади жилых помещений в предполагаемых проектом многоквартирном доме (многоквартирных домах), доме (домах) блокированной застройки, если общая площадь вводимых в эксплуатацию жилых помещений в предполагаемых проектом многоквартирном доме (многоквартирных домах), доме (домах) блокированной застройки составляет до 10,0 тыс. квадратных метров;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5 процентов от общей площади жилых помещений в предполагаемых проектом многоквартирном доме (многоквартирных домах), доме (домах) блокированной застройки, если общая площадь вводимых в эксплуатацию жилых помещений в предполагаемых проектом многоквартирном доме (многоквартирных домах), доме (домах) блокированной застройки составляет от 10,0 тыс. квадратных метров до 40,0 тыс. квадратных метров;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3 процентов от общей площади жилых помещений в предполагаемых проектом многоквартирном доме (многоквартирных домах), доме (домах) блокированной застройки, если общая площадь вводимых в эксплуатацию жилых помещений в предполагаемых проектом многоквартирном доме (многоквартирных домах), доме (домах) блокированной застройки составляет от 40,0 тыс. квадратных метров до 70,0 тыс. квадратных метров;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2 процентов от общей площади жилых помещений в предполагаемых проектом многоквартирном доме (многоквартирных домах), доме (домах) блокированной застройки, если общая площадь вводимых в эксплуатацию жилых помещений в предполагаемых проектом многоквартирном доме (многоквартирных домах), доме (домах) блокированной застройки составляет более 70,0 тыс. квадратных метров;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объектов индивидуального жилищного строительства, строительство которых предполагается проектом, и (или) равнозначных объектов индивидуального жилищного строительства, количество которых превышает 10 процентов от общего количества предполагаемых проектом объектов индивидуального жилищного строительства;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проект предусматривает застройку земельного участка или его комплексное освоение и безвозмездное расселение инвестором граждан с их добровольного согласия из жилых помещений, расположенных на земельном участке, и (или) безвозмездное предоставление юридическим и физическим лицам с их добровольного согласия равнозначных помещений взамен помещений, расположенных на земельном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проект реализуется резидентом территории опережающего развития, создаваемой на территории монопрофильного муниципального образования Забайкальского края (моногорода), - в отношении земельных участков, которые расположены в границах территории опережающего развития, создаваемой на территории монопрофильного муниципального образования Забайкальского края (моногорода);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проект предусматривает строительство на предоставляемом земельном участке объектов недвижимости нежилого назначения, определенных в соответствии с градостроительным регламентом соответствующей территориальной зоны, и безвозмездную передачу в собственность Забайкальского края либо муниципальную собственность жилых помещений, общая стоимость которых, установленная исходя из рыночной стоимости каждого передаваемого жилого помещения, определенной в соответствии с Федеральным </w:t>
      </w:r>
      <w:hyperlink w:history="0" r:id="rId35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июля 1998 года N 135-ФЗ "Об оценочной деятельности в Российской Федерации", должна составлять не менее рыночной стоимости предоставляемого земельного участка, определенной в соответствии с указанным Федеральным </w:t>
      </w:r>
      <w:hyperlink w:history="0" r:id="rId36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и которые должны отвечать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передаваемые в собственность Забайкальского края жилые помещения должны быть благоустроенными применительно к условиям населенного пункта, отвечать установленным действующим законодательством требованиям, быть площадью не менее 33 квадратных метров и не более 120 квадратных метров, находиться в многоквартирных домах, введенных в эксплуатацию не ранее 2010 года, расположенных в границах городского округа "Город Чита";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передаваемые в муниципальную собственность жилые помещения должны быть благоустроенными применительно к условиям населенного пункта, отвечать установленным действующим законодательством требованиям, быть площадью не менее 33 квадратных метров и не более 120 квадратных метров, находиться в многоквартирных домах, введенных в эксплуатацию не ранее 1980 года, расположенных в границах населенного пункта, на территории которого предоставляется земельный участок;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проект реализуется юридическим лицом, в уставном капитале которого доля (вклад) Забайкальского края составляет более 50 процентов, предусматривает строительство комплекса зданий и сооружений, в том числе здания музея, включает объекты туристского показа (объекты археологического наследия, памятники, ансамбли, достопримечательные места) и способствует развитию международного туризма;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проект предусматривает строительство на предоставляемом земельном участке комплекса зданий, сооружений и коммуникаций, предназначенных для организации приема, хранения, отпуска и учета нефтепродуктов, включающего в себя в том числе нефтехранилища и нефтеналивные станции, общий объем резервуарного парка которых составляет более 2000 кубических метров;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проект направлен на развитие сельского хозяйства и его реализация позволит значительно (на 1 процент и более) увеличить количество рабочих мест в муниципальном образовании, на территории которого он реализуется, но не менее чем на 100 рабочих мест;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общий объем инвестиций, предусмотренных проектом,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 менее 100 млн рублей при реализации проекта на территории муниципального образования с численностью населения до 100 тыс. человек;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 менее 1 млрд рублей при реализации проекта на территории муниципального образования с численностью населения свыше 100 тыс. человек;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реализация проекта позволит увеличить: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количество рабочих мест в муниципальном образовании, на территории которого он реализуется, не менее чем на 100 рабочих мест;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ежегодные поступления от налогов, взимаемых в бюджет муниципального образования, на территории которого он реализуется, не менее чем на 1 млн рублей.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проекта допускается в случае, если проект соответствует не менее чем трем критериям, установленным </w:t>
      </w:r>
      <w:hyperlink w:history="0" w:anchor="P50" w:tooltip="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масштабного инвестиционного проекта допускается в случае, если такой инвестиционный проект соответствует с учетом положений части 2 настоящей статьи следующим критериям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при этом один из этих критериев должен относиться к критериям, установленным </w:t>
      </w:r>
      <w:hyperlink w:history="0" w:anchor="P53" w:tooltip="3) проект включен в государственную программу Российской Федерации, государственную программу Забайкальского края или муниципальную программу;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, либо </w:t>
      </w:r>
      <w:hyperlink w:history="0" w:anchor="P54" w:tooltip="4) проект предусматривает реализацию целей, приоритетов и задач стратегии социально-экономического развития Забайкальского края;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, либо </w:t>
      </w:r>
      <w:hyperlink w:history="0" w:anchor="P64" w:tooltip="8) проект предусматривает застройку земельного участка или его комплексное освоение и безвозмездное расселение инвестором граждан с их добровольного согласия из жилых помещений, расположенных на земельном участке, и (или) безвозмездное предоставление юридическим и физическим лицам с их добровольного согласия равнозначных помещений взамен помещений, расположенных на земельном участке;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, либо </w:t>
      </w:r>
      <w:hyperlink w:history="0" w:anchor="P66" w:tooltip="10) проект предусматривает строительство на предоставляемом земельном участке объектов недвижимости нежилого назначения, определенных в соответствии с градостроительным регламентом соответствующей территориальной зоны, и безвозмездную передачу в собственность Забайкальского края либо муниципальную собственность жилых помещений, общая стоимость которых, установленная исходя из рыночной стоимости каждого передаваемого жилого помещения, определенной в соответствии с Федеральным законом от 29 июля 1998 года ...">
        <w:r>
          <w:rPr>
            <w:sz w:val="24"/>
            <w:color w:val="0000ff"/>
          </w:rPr>
          <w:t xml:space="preserve">пунктом 10 части 1</w:t>
        </w:r>
      </w:hyperlink>
      <w:r>
        <w:rPr>
          <w:sz w:val="24"/>
        </w:rPr>
        <w:t xml:space="preserve"> настоящей статьи, если иное не установлено настоящей частью.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реализации проекта в сфере жилищного строительства проект должен соответствовать критерию, установленному </w:t>
      </w:r>
      <w:hyperlink w:history="0" w:anchor="P57" w:tooltip="7) проект предусматривает строительство на предоставляемом на территории муниципального образования с численностью населения до 100 тыс. человек земельном участке, в том числе при комплексном освоении территории, многоквартирного дома (многоквартирных домов), дома (домов) блокированной застройки и (или) объектов индивидуального жилищного строительства, обеспеченных инженерной и транспортной инфраструктурой, а также в целях реализации публичных полномочий органов государственной власти Забайкальского края...">
        <w:r>
          <w:rPr>
            <w:sz w:val="24"/>
            <w:color w:val="0000ff"/>
          </w:rPr>
          <w:t xml:space="preserve">пунктом 7 части 1</w:t>
        </w:r>
      </w:hyperlink>
      <w:r>
        <w:rPr>
          <w:sz w:val="24"/>
        </w:rPr>
        <w:t xml:space="preserve"> настоящей статьи, и дополнительно не менее чем двум иным критериям, установленным </w:t>
      </w:r>
      <w:hyperlink w:history="0" w:anchor="P50" w:tooltip="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масштабного инвестиционного проекта допускается в случае, если такой инвестиционный проект соответствует с учетом положений части 2 настоящей статьи следующим критериям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Соответствие масштабных инвестиционных проектов критериям, установленным </w:t>
      </w:r>
      <w:hyperlink w:history="0" w:anchor="P50" w:tooltip="1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масштабного инвестиционного проекта допускается в случае, если такой инвестиционный проект соответствует с учетом положений части 2 настоящей статьи следующим критериям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 учетом положений </w:t>
      </w:r>
      <w:hyperlink w:history="0" w:anchor="P78" w:tooltip="2. 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в целях реализации проекта допускается в случае, если проект соответствует не менее чем трем критериям, установленным частью 1 настоящей статьи, при этом один из этих критериев должен относиться к критериям, установленным пунктом 3, либо пунктом 4, либо пунктом 8, либо пунктом 10 части 1 настоящей статьи, если и..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определяется в порядке, установленном Правительством Забайкальского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земельного участка, находящегося в государственной или муниципальной собственности, в аренду без проведения торгов в соответствии с распоряжением Губернатора Забайкальского края для размещения объектов социально-культурного и коммунально-бытового назначения, реализации масштабных инвестиционных проектов, соответствующих критериям, установленным настоящим Законом края, осуществляется органом, уполномоченным на распоряжение такими земельными участками, в соответствии с Земельным </w:t>
      </w:r>
      <w:hyperlink w:history="0" r:id="rId3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федеральными законами и законами Забайкальского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Забайкальского края от 16.06.2020 N 1832-ЗЗК &quot;О внесении изменений в Закон Забайкальского края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16.06.2020 N 1832-ЗЗК)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края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 Законодательного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Собрания Забайкальского 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Н.Н.ЖДАНОВА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Губернатор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Забайкальского края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К.К.ИЛЬКОВСКИЙ</w:t>
            </w:r>
          </w:p>
        </w:tc>
      </w:tr>
    </w:tbl>
    <w:p>
      <w:pPr>
        <w:pStyle w:val="0"/>
        <w:spacing w:before="240" w:lineRule="auto"/>
      </w:pPr>
      <w:r>
        <w:rPr>
          <w:sz w:val="24"/>
        </w:rPr>
        <w:t xml:space="preserve">г. Чита</w:t>
      </w:r>
    </w:p>
    <w:p>
      <w:pPr>
        <w:pStyle w:val="0"/>
        <w:spacing w:before="240" w:lineRule="auto"/>
      </w:pPr>
      <w:r>
        <w:rPr>
          <w:sz w:val="24"/>
        </w:rPr>
        <w:t xml:space="preserve">30 июня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1194-ЗЗК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30.06.2015 N 1194-ЗЗК</w:t>
            <w:br/>
            <w:t>(ред. от 04.12.2025)</w:t>
            <w:br/>
            <w:t>"Об установлении критериев, которым должны соотв...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37467&amp;date=19.03.2026&amp;dst=100012&amp;field=134" TargetMode = "External"/><Relationship Id="rId9" Type="http://schemas.openxmlformats.org/officeDocument/2006/relationships/hyperlink" Target="https://login.consultant.ru/link/?req=doc&amp;base=RLAW251&amp;n=1635861&amp;date=19.03.2026&amp;dst=100008&amp;field=134" TargetMode = "External"/><Relationship Id="rId10" Type="http://schemas.openxmlformats.org/officeDocument/2006/relationships/hyperlink" Target="https://login.consultant.ru/link/?req=doc&amp;base=RLAW251&amp;n=1637021&amp;date=19.03.2026&amp;dst=100008&amp;field=134" TargetMode = "External"/><Relationship Id="rId11" Type="http://schemas.openxmlformats.org/officeDocument/2006/relationships/hyperlink" Target="https://login.consultant.ru/link/?req=doc&amp;base=RLAW251&amp;n=1637374&amp;date=19.03.2026&amp;dst=100008&amp;field=134" TargetMode = "External"/><Relationship Id="rId12" Type="http://schemas.openxmlformats.org/officeDocument/2006/relationships/hyperlink" Target="https://login.consultant.ru/link/?req=doc&amp;base=RLAW251&amp;n=1639690&amp;date=19.03.2026&amp;dst=100008&amp;field=134" TargetMode = "External"/><Relationship Id="rId13" Type="http://schemas.openxmlformats.org/officeDocument/2006/relationships/hyperlink" Target="https://login.consultant.ru/link/?req=doc&amp;base=RLAW251&amp;n=1640903&amp;date=19.03.2026&amp;dst=100019&amp;field=134" TargetMode = "External"/><Relationship Id="rId14" Type="http://schemas.openxmlformats.org/officeDocument/2006/relationships/hyperlink" Target="https://login.consultant.ru/link/?req=doc&amp;base=RLAW251&amp;n=1645506&amp;date=19.03.2026&amp;dst=100008&amp;field=134" TargetMode = "External"/><Relationship Id="rId15" Type="http://schemas.openxmlformats.org/officeDocument/2006/relationships/hyperlink" Target="https://login.consultant.ru/link/?req=doc&amp;base=RLAW251&amp;n=1646870&amp;date=19.03.2026&amp;dst=100008&amp;field=134" TargetMode = "External"/><Relationship Id="rId16" Type="http://schemas.openxmlformats.org/officeDocument/2006/relationships/hyperlink" Target="https://login.consultant.ru/link/?req=doc&amp;base=RLAW251&amp;n=1648978&amp;date=19.03.2026&amp;dst=100010&amp;field=134" TargetMode = "External"/><Relationship Id="rId17" Type="http://schemas.openxmlformats.org/officeDocument/2006/relationships/hyperlink" Target="https://login.consultant.ru/link/?req=doc&amp;base=RLAW251&amp;n=1652077&amp;date=19.03.2026&amp;dst=100008&amp;field=134" TargetMode = "External"/><Relationship Id="rId18" Type="http://schemas.openxmlformats.org/officeDocument/2006/relationships/hyperlink" Target="https://login.consultant.ru/link/?req=doc&amp;base=RLAW251&amp;n=1656417&amp;date=19.03.2026&amp;dst=100008&amp;field=134" TargetMode = "External"/><Relationship Id="rId19" Type="http://schemas.openxmlformats.org/officeDocument/2006/relationships/hyperlink" Target="https://login.consultant.ru/link/?req=doc&amp;base=RLAW251&amp;n=1664362&amp;date=19.03.2026&amp;dst=100008&amp;field=134" TargetMode = "External"/><Relationship Id="rId20" Type="http://schemas.openxmlformats.org/officeDocument/2006/relationships/hyperlink" Target="https://login.consultant.ru/link/?req=doc&amp;base=RLAW251&amp;n=1665186&amp;date=19.03.2026&amp;dst=100008&amp;field=134" TargetMode = "External"/><Relationship Id="rId21" Type="http://schemas.openxmlformats.org/officeDocument/2006/relationships/hyperlink" Target="https://login.consultant.ru/link/?req=doc&amp;base=RLAW251&amp;n=1667768&amp;date=19.03.2026&amp;dst=100024&amp;field=134" TargetMode = "External"/><Relationship Id="rId22" Type="http://schemas.openxmlformats.org/officeDocument/2006/relationships/hyperlink" Target="https://login.consultant.ru/link/?req=doc&amp;base=RLAW251&amp;n=1670173&amp;date=19.03.2026&amp;dst=100008&amp;field=134" TargetMode = "External"/><Relationship Id="rId23" Type="http://schemas.openxmlformats.org/officeDocument/2006/relationships/hyperlink" Target="https://login.consultant.ru/link/?req=doc&amp;base=RLAW251&amp;n=1674922&amp;date=19.03.2026&amp;dst=100008&amp;field=134" TargetMode = "External"/><Relationship Id="rId24" Type="http://schemas.openxmlformats.org/officeDocument/2006/relationships/hyperlink" Target="https://login.consultant.ru/link/?req=doc&amp;base=RLAW251&amp;n=1681559&amp;date=19.03.2026&amp;dst=100008&amp;field=134" TargetMode = "External"/><Relationship Id="rId25" Type="http://schemas.openxmlformats.org/officeDocument/2006/relationships/hyperlink" Target="https://login.consultant.ru/link/?req=doc&amp;base=RLAW251&amp;n=1682083&amp;date=19.03.2026&amp;dst=100008&amp;field=134" TargetMode = "External"/><Relationship Id="rId26" Type="http://schemas.openxmlformats.org/officeDocument/2006/relationships/hyperlink" Target="https://login.consultant.ru/link/?req=doc&amp;base=LAW&amp;n=511728&amp;date=19.03.2026&amp;dst=470&amp;field=134" TargetMode = "External"/><Relationship Id="rId27" Type="http://schemas.openxmlformats.org/officeDocument/2006/relationships/hyperlink" Target="https://login.consultant.ru/link/?req=doc&amp;base=RLAW251&amp;n=1656417&amp;date=19.03.2026&amp;dst=100010&amp;field=134" TargetMode = "External"/><Relationship Id="rId28" Type="http://schemas.openxmlformats.org/officeDocument/2006/relationships/hyperlink" Target="https://login.consultant.ru/link/?req=doc&amp;base=RLAW251&amp;n=1635861&amp;date=19.03.2026&amp;dst=100010&amp;field=134" TargetMode = "External"/><Relationship Id="rId29" Type="http://schemas.openxmlformats.org/officeDocument/2006/relationships/hyperlink" Target="https://login.consultant.ru/link/?req=doc&amp;base=RLAW251&amp;n=1656417&amp;date=19.03.2026&amp;dst=100011&amp;field=134" TargetMode = "External"/><Relationship Id="rId30" Type="http://schemas.openxmlformats.org/officeDocument/2006/relationships/hyperlink" Target="https://login.consultant.ru/link/?req=doc&amp;base=RLAW251&amp;n=1682083&amp;date=19.03.2026&amp;dst=100008&amp;field=134" TargetMode = "External"/><Relationship Id="rId31" Type="http://schemas.openxmlformats.org/officeDocument/2006/relationships/hyperlink" Target="https://login.consultant.ru/link/?req=doc&amp;base=RLAW251&amp;n=1635861&amp;date=19.03.2026&amp;dst=100011&amp;field=134" TargetMode = "External"/><Relationship Id="rId32" Type="http://schemas.openxmlformats.org/officeDocument/2006/relationships/hyperlink" Target="https://login.consultant.ru/link/?req=doc&amp;base=RLAW251&amp;n=1681559&amp;date=19.03.2026&amp;dst=100008&amp;field=134" TargetMode = "External"/><Relationship Id="rId33" Type="http://schemas.openxmlformats.org/officeDocument/2006/relationships/hyperlink" Target="https://login.consultant.ru/link/?req=doc&amp;base=RLAW251&amp;n=1681751&amp;date=19.03.2026&amp;dst=100055&amp;field=134" TargetMode = "External"/><Relationship Id="rId34" Type="http://schemas.openxmlformats.org/officeDocument/2006/relationships/hyperlink" Target="https://login.consultant.ru/link/?req=doc&amp;base=RLAW251&amp;n=1671912&amp;date=19.03.2026" TargetMode = "External"/><Relationship Id="rId35" Type="http://schemas.openxmlformats.org/officeDocument/2006/relationships/hyperlink" Target="https://login.consultant.ru/link/?req=doc&amp;base=LAW&amp;n=511679&amp;date=19.03.2026" TargetMode = "External"/><Relationship Id="rId36" Type="http://schemas.openxmlformats.org/officeDocument/2006/relationships/hyperlink" Target="https://login.consultant.ru/link/?req=doc&amp;base=LAW&amp;n=511679&amp;date=19.03.2026" TargetMode = "External"/><Relationship Id="rId37" Type="http://schemas.openxmlformats.org/officeDocument/2006/relationships/hyperlink" Target="https://login.consultant.ru/link/?req=doc&amp;base=LAW&amp;n=511728&amp;date=19.03.2026&amp;dst=470&amp;field=134" TargetMode = "External"/><Relationship Id="rId38" Type="http://schemas.openxmlformats.org/officeDocument/2006/relationships/hyperlink" Target="https://login.consultant.ru/link/?req=doc&amp;base=RLAW251&amp;n=1656417&amp;date=19.03.2026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30.06.2015 N 1194-ЗЗК
(ред. от 04.12.2025)
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
(принят Законодательным Собранием Забайкальского края 10.06.2015)</dc:title>
  <dcterms:created xsi:type="dcterms:W3CDTF">2026-03-19T07:46:51Z</dcterms:created>
</cp:coreProperties>
</file>