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39" w:rsidRDefault="00714239" w:rsidP="0071423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СЕЛЬСКОГО ПОСЕЛЕНИЯ «БУРИНСКОЕ»</w:t>
      </w: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714239" w:rsidRDefault="00714239" w:rsidP="0071423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714239" w:rsidRDefault="00714239" w:rsidP="00714239">
      <w:pPr>
        <w:rPr>
          <w:sz w:val="32"/>
          <w:szCs w:val="32"/>
        </w:rPr>
      </w:pPr>
    </w:p>
    <w:p w:rsidR="00714239" w:rsidRDefault="00714239" w:rsidP="00714239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«05» декабря 2013 года</w:t>
      </w:r>
      <w:r>
        <w:rPr>
          <w:sz w:val="28"/>
          <w:szCs w:val="28"/>
        </w:rPr>
        <w:tab/>
        <w:t>№ 39</w:t>
      </w:r>
    </w:p>
    <w:p w:rsidR="00714239" w:rsidRDefault="00714239" w:rsidP="00714239">
      <w:pPr>
        <w:tabs>
          <w:tab w:val="right" w:pos="9355"/>
        </w:tabs>
        <w:rPr>
          <w:sz w:val="28"/>
          <w:szCs w:val="28"/>
        </w:rPr>
      </w:pPr>
    </w:p>
    <w:p w:rsidR="00714239" w:rsidRDefault="00714239" w:rsidP="00714239">
      <w:pPr>
        <w:tabs>
          <w:tab w:val="right" w:pos="9355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Бура</w:t>
      </w: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генерального плана территории </w:t>
      </w:r>
    </w:p>
    <w:p w:rsidR="00714239" w:rsidRDefault="00714239" w:rsidP="00714239">
      <w:pPr>
        <w:tabs>
          <w:tab w:val="left" w:pos="4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«Буринское»</w:t>
      </w: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 ФЗ «Об общих принципах организации местного самоуправления в Российской Федерации», п.21ч. 1 ст. 7 Устава сельского поселения «Буринское» </w:t>
      </w:r>
      <w:r>
        <w:rPr>
          <w:b/>
          <w:sz w:val="28"/>
          <w:szCs w:val="28"/>
        </w:rPr>
        <w:t>решил:</w:t>
      </w: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Генеральный план территории сельского поселения «Буринское».</w:t>
      </w: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территориальном планировании сельского поселения «Буринское» муниципального района «Калганский район».</w:t>
      </w: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администрации и СДК, разместить в информационно-телекоммуникационной сети «Интернет».</w:t>
      </w: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в районной газете «Родная земля».</w:t>
      </w: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руководителя администрации сельского поселения «Буринское» Дулинаеву Г.В.</w:t>
      </w:r>
    </w:p>
    <w:p w:rsidR="00714239" w:rsidRDefault="00714239" w:rsidP="00714239">
      <w:pPr>
        <w:numPr>
          <w:ilvl w:val="0"/>
          <w:numId w:val="1"/>
        </w:num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опубликования в районной газете «Родная земля».</w:t>
      </w:r>
    </w:p>
    <w:p w:rsidR="00714239" w:rsidRDefault="00714239" w:rsidP="00714239">
      <w:pPr>
        <w:tabs>
          <w:tab w:val="left" w:pos="4470"/>
        </w:tabs>
        <w:jc w:val="both"/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</w:tabs>
        <w:rPr>
          <w:sz w:val="28"/>
          <w:szCs w:val="28"/>
        </w:rPr>
      </w:pPr>
    </w:p>
    <w:p w:rsidR="00714239" w:rsidRDefault="00714239" w:rsidP="00714239">
      <w:pPr>
        <w:tabs>
          <w:tab w:val="left" w:pos="4470"/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</w:p>
    <w:p w:rsidR="00714239" w:rsidRDefault="00714239" w:rsidP="00714239">
      <w:pPr>
        <w:tabs>
          <w:tab w:val="left" w:pos="4470"/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 xml:space="preserve"> поселения «Буринское»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Л.В.Волкова</w:t>
      </w: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rPr>
          <w:sz w:val="28"/>
          <w:szCs w:val="28"/>
        </w:rPr>
      </w:pPr>
    </w:p>
    <w:p w:rsidR="00714239" w:rsidRDefault="00714239" w:rsidP="00714239">
      <w:pPr>
        <w:pStyle w:val="2"/>
        <w:rPr>
          <w:szCs w:val="20"/>
        </w:rPr>
      </w:pPr>
      <w:r>
        <w:rPr>
          <w:sz w:val="28"/>
        </w:rPr>
        <w:tab/>
      </w:r>
      <w:r>
        <w:t>Предисловие</w:t>
      </w: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Муниципальное образование сельское поселение «Буринское» муниципального района «Калганский район» Забайкальского края представляет новый Генеральный план поселения, принятый представительным органом местного самоуправления поселения «___»_______ 2013 г.</w:t>
      </w: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Генеральный план 2013 года был открыт для внесения предложений всеми заинтересованными лицами в течение трех месяцев. Генеральный план был поддержан при его обсуждении жителями сельского поселения «____»_______ 2013 г.</w:t>
      </w:r>
    </w:p>
    <w:p w:rsidR="00714239" w:rsidRDefault="00714239" w:rsidP="00714239">
      <w:pPr>
        <w:suppressAutoHyphens/>
        <w:ind w:firstLine="709"/>
        <w:rPr>
          <w:rFonts w:cs="Arial"/>
        </w:rPr>
      </w:pP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Генеральный план будет периодически обновляться, чтобы его содержание соответствовало интересам жителей поселения и требованиям времени.</w:t>
      </w:r>
    </w:p>
    <w:p w:rsidR="00714239" w:rsidRDefault="00714239" w:rsidP="00714239">
      <w:pPr>
        <w:suppressAutoHyphens/>
        <w:ind w:firstLine="709"/>
        <w:rPr>
          <w:rFonts w:cs="Arial"/>
          <w:szCs w:val="20"/>
        </w:rPr>
      </w:pP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Генеральный план соответствует требованиям федерального законодательства и законам Забайкальского края.</w:t>
      </w:r>
    </w:p>
    <w:p w:rsidR="00714239" w:rsidRDefault="00714239" w:rsidP="00714239">
      <w:pPr>
        <w:suppressAutoHyphens/>
        <w:ind w:firstLine="709"/>
        <w:rPr>
          <w:rFonts w:cs="Arial"/>
        </w:rPr>
      </w:pP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План призван решить проблемы жителей поселения, которые не решены иным законным способом.</w:t>
      </w:r>
    </w:p>
    <w:p w:rsidR="00714239" w:rsidRDefault="00714239" w:rsidP="00714239">
      <w:pPr>
        <w:suppressAutoHyphens/>
        <w:ind w:firstLine="709"/>
        <w:rPr>
          <w:rFonts w:cs="Arial"/>
        </w:rPr>
      </w:pPr>
    </w:p>
    <w:p w:rsidR="00714239" w:rsidRDefault="00714239" w:rsidP="00714239">
      <w:pPr>
        <w:suppressAutoHyphens/>
        <w:ind w:firstLine="709"/>
        <w:rPr>
          <w:rFonts w:cs="Arial"/>
        </w:rPr>
      </w:pPr>
      <w:r>
        <w:rPr>
          <w:rFonts w:cs="Arial"/>
        </w:rPr>
        <w:t>Составные части, которые включены в этот план, призваны обеспечить будущее поселения и его жителей во всех его проявлениях.</w:t>
      </w:r>
    </w:p>
    <w:p w:rsidR="00714239" w:rsidRDefault="00714239" w:rsidP="00714239">
      <w:pPr>
        <w:suppressAutoHyphens/>
        <w:ind w:firstLine="709"/>
        <w:rPr>
          <w:rFonts w:cs="Arial"/>
          <w:szCs w:val="20"/>
        </w:rPr>
      </w:pPr>
    </w:p>
    <w:p w:rsidR="00714239" w:rsidRDefault="00714239" w:rsidP="00714239">
      <w:pPr>
        <w:pStyle w:val="a4"/>
        <w:widowControl/>
        <w:suppressAutoHyphens/>
        <w:ind w:right="0" w:firstLine="709"/>
        <w:rPr>
          <w:rFonts w:cs="Arial"/>
          <w:sz w:val="24"/>
        </w:rPr>
      </w:pPr>
      <w:r>
        <w:rPr>
          <w:rFonts w:cs="Arial"/>
          <w:sz w:val="24"/>
        </w:rPr>
        <w:t>Муниципальное образование сельское поселение «Буринское» благодарит всех граждан, которые затратили свое время и труд при обсуждении этого плана в многочисленных инстанциях и, которые, сделали принятие этого плана реальностью.</w:t>
      </w:r>
    </w:p>
    <w:p w:rsidR="00714239" w:rsidRDefault="00714239" w:rsidP="00714239">
      <w:pPr>
        <w:pStyle w:val="2"/>
        <w:rPr>
          <w:rFonts w:ascii="Times New Roman" w:hAnsi="Times New Roman" w:cs="Times New Roman"/>
        </w:rPr>
      </w:pPr>
      <w:r>
        <w:rPr>
          <w:b w:val="0"/>
          <w:bCs w:val="0"/>
          <w:iCs w:val="0"/>
        </w:rPr>
        <w:br w:type="page"/>
      </w:r>
      <w:r>
        <w:rPr>
          <w:rFonts w:ascii="Times New Roman" w:hAnsi="Times New Roman" w:cs="Times New Roman"/>
        </w:rPr>
        <w:lastRenderedPageBreak/>
        <w:t>Генеральный план</w:t>
      </w:r>
    </w:p>
    <w:p w:rsidR="00714239" w:rsidRDefault="00714239" w:rsidP="00714239">
      <w:pPr>
        <w:pStyle w:val="2"/>
        <w:suppressAutoHyphens/>
        <w:ind w:firstLine="709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Муниципального образования сельского поселения «Буринское»</w:t>
      </w:r>
    </w:p>
    <w:p w:rsidR="00714239" w:rsidRDefault="00714239" w:rsidP="00714239">
      <w:pPr>
        <w:pStyle w:val="3"/>
        <w:suppressAutoHyphens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 «04» февраля 2014 г. представительным органом местного самоуправления сельского поселения.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suppressAutoHyphens/>
        <w:ind w:firstLine="709"/>
        <w:rPr>
          <w:szCs w:val="20"/>
        </w:rPr>
      </w:pPr>
      <w:r>
        <w:t>МУНИЦИПАЛЬНОЕ ОБРАЗОВАНИЕ СЕЛЬСКОЕ ПОСЕЛЕНИЕ БУРИНСКОЕ - местное сообщество, которое считает поселение своей малой родиной, со своими этническими, историческими и природными особенностями, которое стремится обеспечить свое экономическое выживание, сохранение окрестностей и качества жизни населения, соблюдает приоритет общественных интересов, и сохраняет принципы добрососедства.</w:t>
      </w:r>
    </w:p>
    <w:p w:rsidR="00714239" w:rsidRDefault="00714239" w:rsidP="00714239">
      <w:pPr>
        <w:pStyle w:val="a4"/>
        <w:widowControl/>
        <w:suppressAutoHyphens/>
        <w:ind w:right="0" w:firstLine="709"/>
        <w:rPr>
          <w:rFonts w:ascii="Times New Roman" w:hAnsi="Times New Roman"/>
          <w:sz w:val="24"/>
        </w:rPr>
      </w:pPr>
    </w:p>
    <w:p w:rsidR="00714239" w:rsidRDefault="00714239" w:rsidP="00714239">
      <w:pPr>
        <w:pStyle w:val="2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Оглавление</w:t>
      </w:r>
    </w:p>
    <w:p w:rsidR="00714239" w:rsidRDefault="00714239" w:rsidP="00714239">
      <w:pPr>
        <w:suppressAutoHyphens/>
        <w:ind w:firstLine="709"/>
      </w:pPr>
      <w:r>
        <w:t>Положения о территориальном планировании сельского поселения «Буринское» муниципального района «Калганский район».</w:t>
      </w:r>
    </w:p>
    <w:p w:rsidR="00714239" w:rsidRDefault="00714239" w:rsidP="00714239">
      <w:pPr>
        <w:suppressAutoHyphens/>
        <w:ind w:firstLine="709"/>
      </w:pPr>
      <w:r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714239" w:rsidRDefault="00714239" w:rsidP="00714239">
      <w:pPr>
        <w:suppressAutoHyphens/>
        <w:ind w:firstLine="709"/>
      </w:pPr>
      <w:r>
        <w:t>2. Характеристики зон с особыми условиями использования территорий, образуемых при размещении объектов местного значения поселения.</w:t>
      </w:r>
    </w:p>
    <w:p w:rsidR="00714239" w:rsidRDefault="00714239" w:rsidP="00714239">
      <w:pPr>
        <w:suppressAutoHyphens/>
        <w:ind w:firstLine="709"/>
      </w:pPr>
      <w:r>
        <w:t>3. Параметры функциональных зон и сведения о планируемых для размещения в них объектах федерального значения, объектах регионального значения, объектах местного значения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карт в составе генерального плана сельского поселения</w:t>
      </w:r>
    </w:p>
    <w:p w:rsidR="00714239" w:rsidRDefault="00714239" w:rsidP="00714239">
      <w:pPr>
        <w:pStyle w:val="a6"/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1. Карта 1. Карта планируемых границ функциональных зон с отображением параметров их планируемого развития, планируемые границы населенных пунктов и планируемое размещение объектов экономической деятельности местного значения на территории сельского поселения «Буринское» (М 1:50000).</w:t>
      </w:r>
    </w:p>
    <w:p w:rsidR="00714239" w:rsidRDefault="00714239" w:rsidP="00714239">
      <w:pPr>
        <w:pStyle w:val="a6"/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2. Карта 2. Карта земельных преобразований, планируемых в связи с реализацией генерального плана сельского поселения «Буринское» (М 1:50000).</w:t>
      </w:r>
    </w:p>
    <w:p w:rsidR="00714239" w:rsidRDefault="00714239" w:rsidP="00714239">
      <w:pPr>
        <w:pStyle w:val="2"/>
        <w:rPr>
          <w:rFonts w:ascii="Times New Roman" w:hAnsi="Times New Roman" w:cs="Times New Roman"/>
        </w:rPr>
      </w:pPr>
      <w:r>
        <w:rPr>
          <w:b w:val="0"/>
          <w:bCs w:val="0"/>
          <w:iCs w:val="0"/>
        </w:rPr>
        <w:br w:type="page"/>
      </w:r>
      <w:r>
        <w:rPr>
          <w:rFonts w:ascii="Times New Roman" w:hAnsi="Times New Roman" w:cs="Times New Roman"/>
        </w:rPr>
        <w:lastRenderedPageBreak/>
        <w:t>ПОЛОЖЕНИЕ О ТЕРРИТОРИАЛЬНОМ ПЛАНИРОВАНИИ СЕЛЬСКОГО ПОСЕЛЕНИЯ «БУРИНСКОЕ» МУНИЦИПАЛЬНОГО РАЙОНА «КАЛГАНСКИЙ РАЙОН»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Мероприятия по территориальному планированию сельского поселения включают следующие основные направления: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-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местоположение;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- характеристики зон с особыми условиями использования территорий, образуемых при размещении объектов местного значения поселения;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- параметры функциональных зон и сведения о планируемых для размещения в них объектах федерального значения, объектах регионального значения, объектах местного значения.</w:t>
      </w:r>
    </w:p>
    <w:p w:rsidR="00714239" w:rsidRDefault="00714239" w:rsidP="0071423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А. Планируемые границы населенного пункта Бура могут быть уточнены в соответствии с разделами настоящего генерального плана, подготовленными применительно к территории населенного пункта.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Протяженность границы н.п. Бура - 4757 м.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</w:p>
    <w:p w:rsidR="00714239" w:rsidRDefault="00714239" w:rsidP="00714239">
      <w:pPr>
        <w:suppressAutoHyphens/>
        <w:ind w:firstLine="709"/>
      </w:pPr>
      <w:r>
        <w:t>Согласно решениям генерального плана площадь земель населенных пунктов должна составить - 1159,447 га.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pStyle w:val="a6"/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1.1. ОБЪЕКТЫ МЕСТНОГО ЗНАЧЕНИЯ, РАЗМЕЩЕНИЕ КОТОРЫХ ОКАЗЫВАЕТ СУЩЕСТВЕННОЕ ВЛИЯНИЕ НА ЭКОНОМИЧЕСКОЕ РАЗВИТИЕ ПОСЕЛЕНИЯ</w:t>
      </w: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  <w:r>
        <w:rPr>
          <w:spacing w:val="0"/>
          <w:kern w:val="0"/>
          <w:position w:val="0"/>
          <w:lang w:val="ru-RU"/>
        </w:rPr>
        <w:t>Сельское поселение в настоящее время имеет ограниченное число видов экономической деятельности и, соответственно, мест приложения труда.</w:t>
      </w: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  <w:r>
        <w:rPr>
          <w:spacing w:val="0"/>
          <w:kern w:val="0"/>
          <w:position w:val="0"/>
          <w:lang w:val="ru-RU"/>
        </w:rPr>
        <w:t>Чтобы обеспечить экономическое развитие, следует путем создания условий для привлечения инвестиций стимулировать новые виды экономической деятельности и сохранять существующие.</w:t>
      </w: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  <w:r>
        <w:rPr>
          <w:spacing w:val="0"/>
          <w:kern w:val="0"/>
          <w:position w:val="0"/>
          <w:lang w:val="ru-RU"/>
        </w:rPr>
        <w:t>Для определения путей экономического развития следует определить основные стратегические направления и приоритеты экономического развития сельского поселения.</w:t>
      </w:r>
    </w:p>
    <w:p w:rsidR="00714239" w:rsidRDefault="00714239" w:rsidP="00714239">
      <w:pPr>
        <w:pStyle w:val="a7"/>
        <w:widowControl/>
        <w:suppressAutoHyphens/>
        <w:ind w:firstLine="709"/>
        <w:jc w:val="both"/>
        <w:rPr>
          <w:spacing w:val="0"/>
          <w:kern w:val="0"/>
          <w:position w:val="0"/>
          <w:lang w:val="ru-RU"/>
        </w:rPr>
      </w:pP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Б. Основные стратегические направления и приоритеты экономического развития сельского поселения.</w:t>
      </w:r>
    </w:p>
    <w:p w:rsidR="00714239" w:rsidRDefault="00714239" w:rsidP="00714239">
      <w:pPr>
        <w:suppressAutoHyphens/>
        <w:ind w:firstLine="709"/>
      </w:pPr>
      <w:r>
        <w:rPr>
          <w:bCs/>
        </w:rPr>
        <w:t xml:space="preserve">Б-1. </w:t>
      </w:r>
      <w:r>
        <w:t>Исходя из природных, исторических и географических особенностей местности, а также конкурентных преимуществ сельского поселения, на первом этапе основным стратегическим вариантом территориального развития будет являться экономическая специализация в добывающей промышленности и в сельском хозяйстве, поэтому необходимо анализировать другие возможные проекты на предмет совместимости с этими вариантами территориального развития.</w:t>
      </w:r>
    </w:p>
    <w:p w:rsidR="00714239" w:rsidRDefault="00714239" w:rsidP="00714239">
      <w:pPr>
        <w:tabs>
          <w:tab w:val="num" w:pos="540"/>
        </w:tabs>
        <w:suppressAutoHyphens/>
        <w:ind w:firstLine="709"/>
      </w:pPr>
      <w:r>
        <w:t xml:space="preserve">Б-2. Развитие сельскохозяйственного производства необходимо осуществлять в направлении углубленной переработки сырья и внедрения инновационных технологий. Особая ситуация складывается в отношении перспективного использования земель сельскохозяйственного назначения, в том числе в связи с размещением объектов </w:t>
      </w:r>
      <w:r>
        <w:lastRenderedPageBreak/>
        <w:t>капитального строительства в соответствии с программами развития формируемого Центрального сельскохозяйственного кластера. В целях расширения возможностей поселенческого сельскохозяйственного микрокластера целесообразна его отраслевая специализация на мясо-молочном производстве и овощеводстве.</w:t>
      </w:r>
    </w:p>
    <w:p w:rsidR="00714239" w:rsidRDefault="00714239" w:rsidP="00714239">
      <w:pPr>
        <w:tabs>
          <w:tab w:val="num" w:pos="540"/>
        </w:tabs>
        <w:suppressAutoHyphens/>
        <w:ind w:firstLine="709"/>
      </w:pPr>
      <w:r>
        <w:t>Б-3. Предусмотрено  строительство детской площадки возле школы и строительство одноэтажных жилых домов в населенном пункте с.Бура.</w:t>
      </w:r>
    </w:p>
    <w:p w:rsidR="00714239" w:rsidRDefault="00714239" w:rsidP="00714239">
      <w:pPr>
        <w:tabs>
          <w:tab w:val="num" w:pos="540"/>
        </w:tabs>
        <w:suppressAutoHyphens/>
        <w:ind w:firstLine="709"/>
      </w:pP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На основе указанных стратегических направлений экономического развития определен перечень рекомендуемых мероприятий по обеспечению экономического развития путем определения планируемых мест размещения объектов экономической деятельности местного значения.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В. Перечень мероприятий по обеспечению экономического развития сельского поселения.</w:t>
      </w:r>
    </w:p>
    <w:p w:rsidR="00714239" w:rsidRDefault="00714239" w:rsidP="00714239">
      <w:pPr>
        <w:tabs>
          <w:tab w:val="num" w:pos="540"/>
        </w:tabs>
        <w:suppressAutoHyphens/>
        <w:ind w:firstLine="709"/>
      </w:pPr>
      <w:r>
        <w:t xml:space="preserve">В-1. В качестве пионерного проекта, с возможным распространением опыта на другие территории может быть предложен проект биоэнергетического микрокластера российской инвестиционной компании </w:t>
      </w:r>
      <w:r>
        <w:rPr>
          <w:bCs/>
        </w:rPr>
        <w:t xml:space="preserve">Biogas Energy. В рамках данного проекта на территории поселения предполагается разместить сельскохозяйственный биоэнергетический микрокластер включающий </w:t>
      </w:r>
      <w:r>
        <w:t>территориально-производственных комплекс, объединённый цепочкой переработки и использования продукции биогазовых установок.</w:t>
      </w:r>
    </w:p>
    <w:p w:rsidR="00714239" w:rsidRDefault="00714239" w:rsidP="00714239">
      <w:pPr>
        <w:tabs>
          <w:tab w:val="num" w:pos="540"/>
        </w:tabs>
        <w:suppressAutoHyphens/>
        <w:ind w:firstLine="709"/>
      </w:pPr>
    </w:p>
    <w:p w:rsidR="00714239" w:rsidRDefault="00714239" w:rsidP="00714239">
      <w:pPr>
        <w:suppressAutoHyphens/>
        <w:ind w:firstLine="709"/>
      </w:pPr>
      <w:r>
        <w:t>В-2. Реализация генерального плана сельского поселения «Буринское» в связи с обусловленностью его решений инвестиционными предпочтениями субъектов экономической деятельности, скорее всего, будет осуществляться поэтапно.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suppressAutoHyphens/>
        <w:ind w:firstLine="709"/>
      </w:pPr>
      <w:r>
        <w:t>Законодательство Российской Федерации предусматривает возможность такой реализации генеральных планов путем их разработки по частям, относящимся к различным территориям, а также разработки планов реализации генеральных планов на периоды (в три - пять лет).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suppressAutoHyphens/>
        <w:ind w:firstLine="709"/>
      </w:pPr>
      <w:r>
        <w:t>В ближайшее время целесообразна подготовка генерального плана (и правил землепользования и застройки) для территории населенных пунктов Бура.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suppressAutoHyphens/>
        <w:ind w:firstLine="709"/>
      </w:pPr>
      <w:r>
        <w:t>Для успешной реализации генерального плана поселения необходимо определение территорий, для которых документация по планировке (проекты планировки, проекты межевания и градостроительные планы земельных участков) будет разрабатываться в первую очередь. Целесообразно также определить территории, для которых документация по планировке будет разрабатываться в дальнейшем.</w:t>
      </w:r>
    </w:p>
    <w:p w:rsidR="00714239" w:rsidRDefault="00714239" w:rsidP="00714239">
      <w:pPr>
        <w:suppressAutoHyphens/>
        <w:ind w:firstLine="709"/>
      </w:pPr>
    </w:p>
    <w:p w:rsidR="00714239" w:rsidRDefault="00714239" w:rsidP="00714239">
      <w:pPr>
        <w:suppressAutoHyphens/>
        <w:ind w:firstLine="709"/>
        <w:rPr>
          <w:b/>
        </w:rPr>
      </w:pPr>
      <w:r>
        <w:rPr>
          <w:b/>
        </w:rPr>
        <w:t>1.2. ОБЪЕКТЫ ТРАНСПОРТНОЙ И ИНЖЕНЕРНОЙ ИНФРАСТРУКТУРЫ МЕСТНОГО ЗНАЧЕНИЯ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Сельское поселение имеет сложившуюся систему транспортных связей.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Развитие транспортной инфраструктуры невозможно без усовершенствования дорог поселенческого значения.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Для определения путей развития транспортной инфраструктуры следует определить основные стратегические направления и приоритеты ее развития.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 xml:space="preserve"> Г. Основные стратегические направления и приоритеты развития транспортной и инженерной инфраструктуры сельского поселения.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rPr>
          <w:bCs/>
        </w:rPr>
        <w:t xml:space="preserve">Г-1. </w:t>
      </w:r>
      <w:r>
        <w:t xml:space="preserve">Основные автотранспортные магистрали сельского поселения «Буриинское» соединяют с соседними населенными пунктами Запокровский и Шивия сельского поселения МО «Шивиинское». Это самая важная часть транспортной системы поселения. Магистрали имеют особое значение в обеспечении межпоселенческих транспортных </w:t>
      </w:r>
      <w:r>
        <w:lastRenderedPageBreak/>
        <w:t>перевозок между поселениями района, а также играют важную роль в экономическом освоении территории поселения.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 xml:space="preserve"> </w:t>
      </w:r>
    </w:p>
    <w:p w:rsidR="00714239" w:rsidRDefault="00714239" w:rsidP="00714239">
      <w:pPr>
        <w:suppressAutoHyphens/>
        <w:ind w:firstLine="709"/>
      </w:pPr>
      <w:r>
        <w:rPr>
          <w:bCs/>
        </w:rPr>
        <w:t xml:space="preserve">Г-2. </w:t>
      </w:r>
      <w:r>
        <w:t>Общее состояние системы электроснабжения населенного пункта характеризуется как удовлетворительное. В населенных пунктах не наблюдается дефицита в электроснабжении, как в отношении генерируемых мощностей, так и в отношении технических параметров сетей.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/>
          <w:bCs/>
        </w:rPr>
        <w:t>На основе указанных стратегических направлений определен перечень мероприятий по обеспечению развития транспортной инфраструктуры поселения</w:t>
      </w:r>
      <w:r>
        <w:rPr>
          <w:bCs/>
        </w:rPr>
        <w:t>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Д. Перечень мероприятий по обеспечению развития транспортной и инженерной инфраструктуры сельского поселения.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Д-1. Необходимо производить каждый год текущий ремонт уличных покрытий.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Д-2. Планируется в поселении производить ремонт электросетей филиалом ОАО «МРСК Сибири-«Читаэнерго».</w:t>
      </w:r>
    </w:p>
    <w:p w:rsidR="00714239" w:rsidRDefault="00714239" w:rsidP="0071423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ХАРАКТЕРИСТИКИ ЗОН С ОСОБЫМИ УСЛОВИЯМИ ИСПОЛЬЗОВАНИЯ ТЕРРИТОРИЙ, ОБРАЗУЕМЫХ ПРИ РАЗМЕЩЕНИИ ОБЪЕКТОВ МЕСТНОГО ЗНАЧЕНИЯ ПОСЕЛЕНИЯ.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В данном генеральном плане зоны ограничений использования территорий в градостроительных целях устанавливаются на основе нормативных требований, а в тех случаях, когда имеются соответствующие проектные документы, на основе этих документов.</w:t>
      </w:r>
    </w:p>
    <w:p w:rsidR="00714239" w:rsidRDefault="00714239" w:rsidP="00714239">
      <w:pPr>
        <w:suppressAutoHyphens/>
        <w:ind w:firstLine="709"/>
      </w:pPr>
      <w:r>
        <w:t>Система особо охраняемых территорий включает территории природно-заповедного, оздоровительного и рекреационного назначения (особо охраняемые природные территории местного значения.</w:t>
      </w:r>
    </w:p>
    <w:p w:rsidR="00714239" w:rsidRDefault="00714239" w:rsidP="00714239">
      <w:pPr>
        <w:suppressAutoHyphens/>
        <w:ind w:firstLine="709"/>
      </w:pPr>
      <w:r>
        <w:t>Система зон с особыми условиями использования территории включает санитарно-защитные зоны, зоны охраны воздушных линий электропередачи, придорожные полосы автодорог и др.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На территории сельского поселения расположены следующие объекты, для которых в соответствии с законодательством устанавливаются зоны с особыми условиями использования территорий:</w:t>
      </w:r>
    </w:p>
    <w:p w:rsidR="00714239" w:rsidRDefault="00714239" w:rsidP="00714239">
      <w:pPr>
        <w:shd w:val="clear" w:color="auto" w:fill="FFFFFF"/>
        <w:suppressAutoHyphens/>
        <w:autoSpaceDE w:val="0"/>
        <w:autoSpaceDN w:val="0"/>
        <w:adjustRightInd w:val="0"/>
        <w:ind w:firstLine="709"/>
      </w:pPr>
      <w:r>
        <w:t>Е-1. Охранные зоны электрических сетей напряжением свыше 1 кВ устанавливаются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 отклоненном их положении.</w:t>
      </w:r>
    </w:p>
    <w:p w:rsidR="00714239" w:rsidRDefault="00714239" w:rsidP="00714239">
      <w:pPr>
        <w:shd w:val="clear" w:color="auto" w:fill="FFFFFF"/>
        <w:suppressAutoHyphens/>
        <w:autoSpaceDE w:val="0"/>
        <w:autoSpaceDN w:val="0"/>
        <w:adjustRightInd w:val="0"/>
        <w:ind w:firstLine="709"/>
      </w:pPr>
      <w:r>
        <w:t>По территории поселения проходят электролинии напряжением 10кВ.</w:t>
      </w:r>
    </w:p>
    <w:p w:rsidR="00714239" w:rsidRDefault="00714239" w:rsidP="00714239">
      <w:pPr>
        <w:shd w:val="clear" w:color="auto" w:fill="FFFFFF"/>
        <w:suppressAutoHyphens/>
        <w:autoSpaceDE w:val="0"/>
        <w:autoSpaceDN w:val="0"/>
        <w:adjustRightInd w:val="0"/>
        <w:ind w:firstLine="709"/>
      </w:pPr>
      <w:r>
        <w:t>Ж-1. Для автомобильных дорог, за исключением автомобильных дорог, расположенных в границах населенных пунктов, устанавливаются придорожные полосы.</w:t>
      </w:r>
    </w:p>
    <w:p w:rsidR="00714239" w:rsidRDefault="00714239" w:rsidP="00714239">
      <w:pPr>
        <w:pStyle w:val="a3"/>
        <w:suppressAutoHyphens/>
        <w:spacing w:before="0" w:beforeAutospacing="0" w:after="0" w:afterAutospacing="0"/>
        <w:ind w:firstLine="709"/>
      </w:pPr>
      <w:r>
        <w:t>Для местных автодорог планируемых к размещению может быть рекомендовано установление придорожных полос шириной 25 метров. В ближайшее время органам местного самоуправления поселения необходимо обратиться к уполномоченным органам государственной власти субъекта Российской Федерации с предложением об утверждении правового акта, регламентирующего размеры придорожных полос для автодорог местного значения.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rPr>
          <w:b/>
          <w:bCs/>
        </w:rPr>
        <w:t>Таким образом, на территории поселения образована система зон с особыми условиями использования территорий, которая должна быть актуализирована по мере подготовки и утверждения соответствующих регламентирующих документов</w:t>
      </w:r>
      <w:r>
        <w:rPr>
          <w:bCs/>
        </w:rPr>
        <w:t>.</w:t>
      </w:r>
      <w:r>
        <w:t xml:space="preserve"> 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rPr>
          <w:b/>
        </w:rPr>
        <w:t xml:space="preserve">3. ПАРАМЕТРЫ ФУНКЦИОНАЛЬНЫХ ЗОН И СВЕДЕНИЯ О ПЛАНИРУЕМЫХ ДЛЯ РАЗМЕЩЕНИЯ В НИХ ОБЪЕКТАХ ФЕДЕРАЛЬНОГО </w:t>
      </w:r>
      <w:r>
        <w:rPr>
          <w:b/>
        </w:rPr>
        <w:lastRenderedPageBreak/>
        <w:t>ЗНАЧЕНИЯ, ОБЪЕКТАХ РЕГИОНАЛЬНОГО ЗНАЧЕНИЯ, ОБЪЕКТАХ МЕСТНОГО ЗНАЧЕНИЯ</w:t>
      </w:r>
      <w:r>
        <w:t>.</w:t>
      </w:r>
    </w:p>
    <w:p w:rsidR="00714239" w:rsidRDefault="00714239" w:rsidP="00714239">
      <w:pPr>
        <w:pStyle w:val="3"/>
        <w:tabs>
          <w:tab w:val="left" w:pos="1624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К-1. С учетом планируемого размещения зон перспективного развития, объектов жилищного строительства и объектов инфраструктуры местного значения осуществлено функциональное зонирование территорий сельского поселения.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 xml:space="preserve">Результат представлен на карте. </w:t>
      </w: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К-2. При осуществлении функционального зонирования территории поселения основную часть его территории следует отнести к территориям естественного ландшафта, которые не планируется использовать для градостроительных целей в обозреваемом периоде. Площадь таких территорий составляет 25420,655 га.</w:t>
      </w:r>
    </w:p>
    <w:p w:rsidR="00714239" w:rsidRDefault="00714239" w:rsidP="00714239">
      <w:pPr>
        <w:pStyle w:val="21"/>
        <w:suppressAutoHyphens/>
        <w:ind w:firstLine="709"/>
        <w:jc w:val="both"/>
      </w:pPr>
      <w:r>
        <w:t>К-3. По результатам планирования использования территории установлены следующие параметры земельных участков, отнесенных к различным функциональным зонам.</w:t>
      </w:r>
    </w:p>
    <w:tbl>
      <w:tblPr>
        <w:tblW w:w="495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23"/>
        <w:gridCol w:w="2106"/>
        <w:gridCol w:w="3955"/>
      </w:tblGrid>
      <w:tr w:rsidR="00714239" w:rsidTr="00714239">
        <w:trPr>
          <w:tblCellSpacing w:w="20" w:type="dxa"/>
        </w:trPr>
        <w:tc>
          <w:tcPr>
            <w:tcW w:w="49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pStyle w:val="4"/>
              <w:suppressAutoHyphens/>
              <w:ind w:firstLine="709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Таблица 1. Состав функциональных зон сельского поселения в планируемых границах сельского поселения «Буринское» (по данным территориального планирования)</w:t>
            </w:r>
          </w:p>
        </w:tc>
      </w:tr>
      <w:tr w:rsidR="00714239" w:rsidTr="00714239">
        <w:trPr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</w:pPr>
            <w:r>
              <w:rPr>
                <w:bCs/>
              </w:rPr>
              <w:t>ФУНКЦИОНАЛЬНАЯ ЗОНА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714239" w:rsidRDefault="00714239">
            <w:pPr>
              <w:suppressAutoHyphens/>
              <w:ind w:firstLine="709"/>
            </w:pPr>
            <w:r>
              <w:rPr>
                <w:bCs/>
              </w:rPr>
              <w:t>(ГА)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ДОЛЯ</w:t>
            </w:r>
          </w:p>
          <w:p w:rsidR="00714239" w:rsidRDefault="00714239">
            <w:pPr>
              <w:suppressAutoHyphens/>
              <w:ind w:firstLine="709"/>
            </w:pPr>
            <w:r>
              <w:rPr>
                <w:bCs/>
              </w:rPr>
              <w:t>(%)</w:t>
            </w:r>
          </w:p>
        </w:tc>
      </w:tr>
      <w:tr w:rsidR="00714239" w:rsidTr="00714239">
        <w:trPr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 xml:space="preserve">ФУНКЦИОНАЛЬНЫЕ ЗОНЫ НАСЕЛЕННЫХ МЕСТ (НА ЗЕМЛЯХ НАСЕЛЕННОГО ПУНКТА)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159,447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0, 623</w:t>
            </w:r>
          </w:p>
        </w:tc>
      </w:tr>
      <w:tr w:rsidR="00714239" w:rsidTr="00714239">
        <w:trPr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СЕЛЬСКОХОЗЯЙСТВЕННЫЕ ПРОИЗВОДСТВЕННЫЕ ОБЪЕКТЫ(СВИНОФЕРМА)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0,398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0, 001</w:t>
            </w:r>
          </w:p>
        </w:tc>
      </w:tr>
      <w:tr w:rsidR="00714239" w:rsidTr="00714239">
        <w:trPr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ТЕРРИТОРИИ ЕСТЕСТВЕННОГО ЛАНДШАФТА (ТЕЛ)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25420,655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99,370</w:t>
            </w:r>
          </w:p>
        </w:tc>
      </w:tr>
      <w:tr w:rsidR="00714239" w:rsidTr="00714239">
        <w:trPr>
          <w:trHeight w:val="448"/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ФУНКЦИОНАЛЬНАЯ ЗОНА МУНИЦИПАЛЬНОГО КЛАДБИЩА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0,928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В границах н.п.</w:t>
            </w:r>
          </w:p>
        </w:tc>
      </w:tr>
      <w:tr w:rsidR="00714239" w:rsidTr="00714239">
        <w:trPr>
          <w:trHeight w:val="448"/>
          <w:tblCellSpacing w:w="20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ФУНКЦИОНАЛЬНАЯ ЗОНА ПОЛИГОНА ПРОМЫШЛЕННЫХ И БЫТОВЫХ ОТХОДОВ И СКОТОМОГИЛЬНИКА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1500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39" w:rsidRDefault="00714239">
            <w:pPr>
              <w:suppressAutoHyphens/>
              <w:ind w:firstLine="709"/>
              <w:rPr>
                <w:bCs/>
              </w:rPr>
            </w:pPr>
            <w:r>
              <w:rPr>
                <w:bCs/>
              </w:rPr>
              <w:t>0,006</w:t>
            </w:r>
          </w:p>
        </w:tc>
      </w:tr>
    </w:tbl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</w:p>
    <w:p w:rsidR="00714239" w:rsidRDefault="00714239" w:rsidP="00714239">
      <w:pPr>
        <w:suppressAutoHyphens/>
        <w:autoSpaceDE w:val="0"/>
        <w:autoSpaceDN w:val="0"/>
        <w:adjustRightInd w:val="0"/>
        <w:ind w:firstLine="709"/>
      </w:pPr>
      <w:r>
        <w:t>Таким образом, более 99 % территории поселения будет использоваться в экономической деятельности в качестве земель сельскохозяйственного  либо образовывать рекреационных потенциал территории. Площадь территорий населенных пунктов в связи с реализацией генерального плана составит 159,447 га.</w:t>
      </w:r>
    </w:p>
    <w:p w:rsidR="00714239" w:rsidRDefault="00714239" w:rsidP="00714239">
      <w:pPr>
        <w:tabs>
          <w:tab w:val="left" w:pos="1142"/>
        </w:tabs>
        <w:rPr>
          <w:sz w:val="28"/>
          <w:szCs w:val="28"/>
        </w:rPr>
      </w:pPr>
    </w:p>
    <w:p w:rsidR="003B231D" w:rsidRDefault="003B231D"/>
    <w:sectPr w:rsidR="003B231D" w:rsidSect="003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12B8D"/>
    <w:multiLevelType w:val="hybridMultilevel"/>
    <w:tmpl w:val="46569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239"/>
    <w:rsid w:val="003B231D"/>
    <w:rsid w:val="0071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71423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71423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1"/>
    <w:basedOn w:val="a0"/>
    <w:link w:val="2"/>
    <w:semiHidden/>
    <w:rsid w:val="0071423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1"/>
    <w:basedOn w:val="a0"/>
    <w:link w:val="4"/>
    <w:rsid w:val="00714239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Normal (Web)"/>
    <w:basedOn w:val="a"/>
    <w:semiHidden/>
    <w:unhideWhenUsed/>
    <w:rsid w:val="00714239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714239"/>
    <w:pPr>
      <w:widowControl w:val="0"/>
      <w:snapToGrid w:val="0"/>
      <w:ind w:right="5386" w:firstLine="567"/>
      <w:jc w:val="both"/>
    </w:pPr>
    <w:rPr>
      <w:rFonts w:ascii="Arial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14239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14239"/>
    <w:pPr>
      <w:spacing w:after="120"/>
      <w:ind w:firstLine="567"/>
      <w:jc w:val="both"/>
    </w:pPr>
    <w:rPr>
      <w:rFonts w:ascii="Arial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14239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4239"/>
    <w:pPr>
      <w:ind w:left="720" w:firstLine="567"/>
      <w:contextualSpacing/>
      <w:jc w:val="both"/>
    </w:pPr>
    <w:rPr>
      <w:rFonts w:ascii="Arial" w:hAnsi="Arial"/>
    </w:rPr>
  </w:style>
  <w:style w:type="paragraph" w:customStyle="1" w:styleId="a7">
    <w:name w:val="Ñòèëü"/>
    <w:rsid w:val="0071423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21">
    <w:name w:val="Обычный2"/>
    <w:rsid w:val="007142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2113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2022-06-10T06:12:00Z</dcterms:created>
  <dcterms:modified xsi:type="dcterms:W3CDTF">2022-06-10T06:13:00Z</dcterms:modified>
</cp:coreProperties>
</file>