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64DC5">
        <w:rPr>
          <w:rFonts w:ascii="Times New Roman" w:hAnsi="Times New Roman"/>
          <w:sz w:val="28"/>
          <w:szCs w:val="28"/>
        </w:rPr>
        <w:t xml:space="preserve">    </w:t>
      </w:r>
      <w:r w:rsidR="0012610D">
        <w:rPr>
          <w:rFonts w:ascii="Times New Roman" w:hAnsi="Times New Roman"/>
          <w:sz w:val="28"/>
          <w:szCs w:val="28"/>
        </w:rPr>
        <w:t xml:space="preserve">  </w:t>
      </w:r>
      <w:r w:rsidR="00395735" w:rsidRPr="008D0B1B">
        <w:rPr>
          <w:rFonts w:ascii="Times New Roman" w:hAnsi="Times New Roman"/>
          <w:sz w:val="28"/>
          <w:szCs w:val="28"/>
        </w:rPr>
        <w:t>№</w:t>
      </w:r>
      <w:r w:rsidR="00F57311">
        <w:rPr>
          <w:rFonts w:ascii="Times New Roman" w:hAnsi="Times New Roman"/>
          <w:sz w:val="28"/>
          <w:szCs w:val="28"/>
        </w:rPr>
        <w:t xml:space="preserve"> </w:t>
      </w:r>
      <w:r w:rsidR="00697F71">
        <w:rPr>
          <w:rFonts w:ascii="Times New Roman" w:hAnsi="Times New Roman"/>
          <w:sz w:val="28"/>
          <w:szCs w:val="28"/>
        </w:rPr>
        <w:t>6</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697F71">
        <w:rPr>
          <w:rFonts w:ascii="Times New Roman" w:hAnsi="Times New Roman"/>
          <w:b/>
          <w:sz w:val="32"/>
          <w:szCs w:val="32"/>
        </w:rPr>
        <w:t>Кадаинской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proofErr w:type="gramStart"/>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w:t>
      </w:r>
      <w:proofErr w:type="gramEnd"/>
      <w:r w:rsidR="00395735" w:rsidRPr="008D0B1B">
        <w:rPr>
          <w:rFonts w:ascii="Times New Roman" w:hAnsi="Times New Roman"/>
          <w:sz w:val="28"/>
          <w:szCs w:val="28"/>
        </w:rPr>
        <w:t xml:space="preserve">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697F71">
        <w:rPr>
          <w:rFonts w:ascii="Times New Roman" w:hAnsi="Times New Roman"/>
          <w:sz w:val="28"/>
          <w:szCs w:val="28"/>
        </w:rPr>
        <w:t>Кадаинской</w:t>
      </w:r>
      <w:r w:rsidR="00E62736">
        <w:rPr>
          <w:rFonts w:ascii="Times New Roman" w:hAnsi="Times New Roman"/>
          <w:sz w:val="28"/>
          <w:szCs w:val="28"/>
        </w:rPr>
        <w:t xml:space="preserve"> сельской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proofErr w:type="spellStart"/>
      <w:r w:rsidR="0012610D" w:rsidRPr="000459AC">
        <w:rPr>
          <w:rFonts w:ascii="Times New Roman" w:hAnsi="Times New Roman"/>
          <w:sz w:val="28"/>
          <w:szCs w:val="28"/>
          <w:u w:val="single"/>
          <w:lang w:val="en-US"/>
        </w:rPr>
        <w:t>kalgan</w:t>
      </w:r>
      <w:proofErr w:type="spellEnd"/>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12610D" w:rsidRDefault="00395735" w:rsidP="00EE5484">
      <w:pPr>
        <w:spacing w:after="0" w:line="240" w:lineRule="auto"/>
        <w:jc w:val="right"/>
        <w:rPr>
          <w:rFonts w:ascii="Times New Roman" w:hAnsi="Times New Roman"/>
          <w:sz w:val="28"/>
          <w:szCs w:val="28"/>
        </w:rPr>
      </w:pP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bookmarkEnd w:id="0"/>
    </w:p>
    <w:p w:rsidR="00FB09C5" w:rsidRPr="008D0B1B" w:rsidRDefault="00FB09C5" w:rsidP="00FB09C5">
      <w:pPr>
        <w:pStyle w:val="a3"/>
        <w:jc w:val="right"/>
        <w:rPr>
          <w:rFonts w:ascii="Times New Roman" w:hAnsi="Times New Roman"/>
          <w:sz w:val="28"/>
          <w:szCs w:val="28"/>
        </w:rPr>
      </w:pPr>
      <w:r w:rsidRPr="008D0B1B">
        <w:rPr>
          <w:rFonts w:ascii="Times New Roman" w:hAnsi="Times New Roman"/>
          <w:sz w:val="28"/>
          <w:szCs w:val="28"/>
        </w:rPr>
        <w:lastRenderedPageBreak/>
        <w:t>Приложение</w:t>
      </w:r>
    </w:p>
    <w:p w:rsidR="00FB09C5" w:rsidRPr="008D0B1B" w:rsidRDefault="00FB09C5" w:rsidP="00FB09C5">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FB09C5" w:rsidRPr="008D0B1B" w:rsidRDefault="00FB09C5" w:rsidP="00FB09C5">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FB09C5" w:rsidRPr="008D0B1B" w:rsidRDefault="00FB09C5" w:rsidP="00FB09C5">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 xml:space="preserve">«11» января </w:t>
      </w:r>
      <w:r w:rsidRPr="008D0B1B">
        <w:rPr>
          <w:rFonts w:ascii="Times New Roman" w:hAnsi="Times New Roman"/>
          <w:sz w:val="28"/>
          <w:szCs w:val="28"/>
        </w:rPr>
        <w:t>202</w:t>
      </w:r>
      <w:r>
        <w:rPr>
          <w:rFonts w:ascii="Times New Roman" w:hAnsi="Times New Roman"/>
          <w:sz w:val="28"/>
          <w:szCs w:val="28"/>
        </w:rPr>
        <w:t>4</w:t>
      </w:r>
      <w:r w:rsidRPr="008D0B1B">
        <w:rPr>
          <w:rFonts w:ascii="Times New Roman" w:hAnsi="Times New Roman"/>
          <w:sz w:val="28"/>
          <w:szCs w:val="28"/>
        </w:rPr>
        <w:t xml:space="preserve"> г. № </w:t>
      </w:r>
      <w:r>
        <w:rPr>
          <w:rFonts w:ascii="Times New Roman" w:hAnsi="Times New Roman"/>
          <w:sz w:val="28"/>
          <w:szCs w:val="28"/>
        </w:rPr>
        <w:t>6</w:t>
      </w:r>
      <w:r w:rsidRPr="008D0B1B">
        <w:rPr>
          <w:rFonts w:ascii="Times New Roman" w:hAnsi="Times New Roman"/>
          <w:sz w:val="28"/>
          <w:szCs w:val="28"/>
        </w:rPr>
        <w:t xml:space="preserve">   </w:t>
      </w:r>
    </w:p>
    <w:p w:rsidR="00FB09C5" w:rsidRPr="008D0B1B" w:rsidRDefault="00FB09C5" w:rsidP="00FB09C5">
      <w:pPr>
        <w:pStyle w:val="a3"/>
        <w:jc w:val="center"/>
        <w:rPr>
          <w:rFonts w:ascii="Times New Roman" w:hAnsi="Times New Roman"/>
          <w:b/>
          <w:sz w:val="28"/>
          <w:szCs w:val="28"/>
        </w:rPr>
      </w:pPr>
    </w:p>
    <w:p w:rsidR="00FB09C5" w:rsidRPr="008D0B1B" w:rsidRDefault="00FB09C5" w:rsidP="00FB09C5">
      <w:pPr>
        <w:pStyle w:val="a3"/>
        <w:jc w:val="center"/>
        <w:rPr>
          <w:rFonts w:ascii="Times New Roman" w:hAnsi="Times New Roman"/>
          <w:b/>
          <w:sz w:val="28"/>
          <w:szCs w:val="28"/>
        </w:rPr>
      </w:pPr>
    </w:p>
    <w:p w:rsidR="00FB09C5" w:rsidRPr="008D0B1B" w:rsidRDefault="00FB09C5" w:rsidP="00FB09C5">
      <w:pPr>
        <w:pStyle w:val="a3"/>
        <w:jc w:val="center"/>
        <w:rPr>
          <w:rFonts w:ascii="Times New Roman" w:hAnsi="Times New Roman"/>
          <w:sz w:val="28"/>
          <w:szCs w:val="28"/>
        </w:rPr>
      </w:pPr>
      <w:r w:rsidRPr="008D0B1B">
        <w:rPr>
          <w:rFonts w:ascii="Times New Roman" w:hAnsi="Times New Roman"/>
          <w:sz w:val="28"/>
          <w:szCs w:val="28"/>
        </w:rPr>
        <w:t>Положение</w:t>
      </w:r>
    </w:p>
    <w:p w:rsidR="00FB09C5" w:rsidRPr="008D0B1B" w:rsidRDefault="00FB09C5" w:rsidP="00FB09C5">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FB09C5" w:rsidRPr="008D0B1B" w:rsidRDefault="00FB09C5" w:rsidP="00FB09C5">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FB09C5" w:rsidRPr="008D0B1B" w:rsidRDefault="00FB09C5" w:rsidP="00FB09C5">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Кадаинской </w:t>
      </w:r>
      <w:r w:rsidRPr="008D0B1B">
        <w:rPr>
          <w:rFonts w:ascii="Times New Roman" w:hAnsi="Times New Roman"/>
          <w:sz w:val="28"/>
          <w:szCs w:val="28"/>
        </w:rPr>
        <w:t>сельской администрации</w:t>
      </w:r>
    </w:p>
    <w:p w:rsidR="00FB09C5" w:rsidRPr="008D0B1B" w:rsidRDefault="00FB09C5" w:rsidP="00FB09C5">
      <w:pPr>
        <w:pStyle w:val="a3"/>
        <w:jc w:val="both"/>
        <w:rPr>
          <w:rFonts w:ascii="Times New Roman" w:hAnsi="Times New Roman"/>
          <w:b/>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Кадаинская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Кадаинская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округа: </w:t>
      </w:r>
      <w:r w:rsidRPr="00E9316D">
        <w:rPr>
          <w:rFonts w:ascii="Times New Roman" w:hAnsi="Times New Roman"/>
          <w:sz w:val="28"/>
          <w:szCs w:val="28"/>
        </w:rPr>
        <w:t xml:space="preserve">село </w:t>
      </w:r>
      <w:r>
        <w:rPr>
          <w:rFonts w:ascii="Times New Roman" w:hAnsi="Times New Roman"/>
          <w:sz w:val="28"/>
          <w:szCs w:val="28"/>
        </w:rPr>
        <w:t>Кадая</w:t>
      </w:r>
      <w:r w:rsidRPr="00E9316D">
        <w:rPr>
          <w:rFonts w:ascii="Times New Roman" w:hAnsi="Times New Roman"/>
          <w:sz w:val="28"/>
          <w:szCs w:val="28"/>
        </w:rPr>
        <w:t>,</w:t>
      </w:r>
      <w:r>
        <w:rPr>
          <w:rFonts w:ascii="Times New Roman" w:hAnsi="Times New Roman"/>
          <w:sz w:val="28"/>
          <w:szCs w:val="28"/>
        </w:rPr>
        <w:t xml:space="preserve"> </w:t>
      </w:r>
      <w:r w:rsidRPr="00E9316D">
        <w:rPr>
          <w:rFonts w:ascii="Times New Roman" w:hAnsi="Times New Roman"/>
          <w:sz w:val="28"/>
          <w:szCs w:val="28"/>
        </w:rPr>
        <w:t xml:space="preserve">село </w:t>
      </w:r>
      <w:r>
        <w:rPr>
          <w:rFonts w:ascii="Times New Roman" w:hAnsi="Times New Roman"/>
          <w:sz w:val="28"/>
          <w:szCs w:val="28"/>
        </w:rPr>
        <w:t>Кадая 1-я</w:t>
      </w:r>
      <w:r w:rsidRPr="008D0B1B">
        <w:rPr>
          <w:rFonts w:ascii="Times New Roman" w:hAnsi="Times New Roman"/>
          <w:sz w:val="28"/>
          <w:szCs w:val="28"/>
        </w:rPr>
        <w:t xml:space="preserve"> (далее - подведомственная территория).</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sidR="00697F71">
        <w:rPr>
          <w:rFonts w:ascii="Times New Roman" w:hAnsi="Times New Roman"/>
          <w:sz w:val="28"/>
          <w:szCs w:val="28"/>
        </w:rPr>
        <w:t xml:space="preserve">Полное наименование территориального органа: </w:t>
      </w:r>
      <w:r w:rsidR="00697F71" w:rsidRPr="008D0B1B">
        <w:rPr>
          <w:rFonts w:ascii="Times New Roman" w:hAnsi="Times New Roman"/>
          <w:sz w:val="28"/>
          <w:szCs w:val="28"/>
        </w:rPr>
        <w:tab/>
        <w:t xml:space="preserve"> </w:t>
      </w:r>
      <w:r w:rsidR="00697F71">
        <w:rPr>
          <w:rFonts w:ascii="Times New Roman" w:hAnsi="Times New Roman"/>
          <w:sz w:val="28"/>
          <w:szCs w:val="28"/>
        </w:rPr>
        <w:t>Кадаинская</w:t>
      </w:r>
      <w:r w:rsidR="00697F71" w:rsidRPr="008D0B1B">
        <w:rPr>
          <w:rFonts w:ascii="Times New Roman" w:hAnsi="Times New Roman"/>
          <w:sz w:val="28"/>
          <w:szCs w:val="28"/>
        </w:rPr>
        <w:t xml:space="preserve"> сельская администрация</w:t>
      </w:r>
      <w:r w:rsidR="00697F71">
        <w:rPr>
          <w:rFonts w:ascii="Times New Roman" w:hAnsi="Times New Roman"/>
          <w:sz w:val="28"/>
          <w:szCs w:val="28"/>
        </w:rPr>
        <w:t xml:space="preserve"> Калганского муниципального округа Забайкальского края. Сокращенное наименование: Кадаинска</w:t>
      </w:r>
      <w:r w:rsidR="00697F71" w:rsidRPr="008D0B1B">
        <w:rPr>
          <w:rFonts w:ascii="Times New Roman" w:hAnsi="Times New Roman"/>
          <w:sz w:val="28"/>
          <w:szCs w:val="28"/>
        </w:rPr>
        <w:t>я сельская администрация</w:t>
      </w:r>
      <w:r w:rsidR="00697F71">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 xml:space="preserve">Кадая, </w:t>
      </w:r>
      <w:r w:rsidRPr="008D0B1B">
        <w:rPr>
          <w:rFonts w:ascii="Times New Roman" w:hAnsi="Times New Roman"/>
          <w:sz w:val="28"/>
          <w:szCs w:val="28"/>
        </w:rPr>
        <w:t xml:space="preserve"> ул.</w:t>
      </w:r>
      <w:r>
        <w:rPr>
          <w:rFonts w:ascii="Times New Roman" w:hAnsi="Times New Roman"/>
          <w:sz w:val="28"/>
          <w:szCs w:val="28"/>
        </w:rPr>
        <w:t xml:space="preserve"> </w:t>
      </w:r>
      <w:proofErr w:type="gramStart"/>
      <w:r>
        <w:rPr>
          <w:rFonts w:ascii="Times New Roman" w:hAnsi="Times New Roman"/>
          <w:sz w:val="28"/>
          <w:szCs w:val="28"/>
        </w:rPr>
        <w:t>Советская</w:t>
      </w:r>
      <w:proofErr w:type="gramEnd"/>
      <w:r>
        <w:rPr>
          <w:rFonts w:ascii="Times New Roman" w:hAnsi="Times New Roman"/>
          <w:sz w:val="28"/>
          <w:szCs w:val="28"/>
        </w:rPr>
        <w:t>, д.44.</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Кадаинской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proofErr w:type="gramEnd"/>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FB09C5" w:rsidRPr="00F528F2" w:rsidRDefault="00FB09C5" w:rsidP="00FB09C5">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FB09C5"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 xml:space="preserve">и перечень объектов, на которых они </w:t>
      </w:r>
      <w:proofErr w:type="gramStart"/>
      <w:r w:rsidRPr="008D0B1B">
        <w:rPr>
          <w:rFonts w:ascii="Times New Roman" w:eastAsia="Times New Roman" w:hAnsi="Times New Roman"/>
          <w:sz w:val="28"/>
          <w:szCs w:val="28"/>
          <w:lang w:eastAsia="ru-RU"/>
        </w:rPr>
        <w:t>отбываются на подведомственной территории</w:t>
      </w:r>
      <w:r w:rsidRPr="008D0B1B">
        <w:rPr>
          <w:rFonts w:ascii="Times New Roman" w:hAnsi="Times New Roman"/>
          <w:sz w:val="28"/>
          <w:szCs w:val="28"/>
        </w:rPr>
        <w:t xml:space="preserve"> представляет</w:t>
      </w:r>
      <w:proofErr w:type="gramEnd"/>
      <w:r w:rsidRPr="008D0B1B">
        <w:rPr>
          <w:rFonts w:ascii="Times New Roman" w:hAnsi="Times New Roman"/>
          <w:sz w:val="28"/>
          <w:szCs w:val="28"/>
        </w:rPr>
        <w:t xml:space="preserve">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FB09C5" w:rsidRPr="007D7C93" w:rsidRDefault="00FB09C5" w:rsidP="00FB09C5">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FB09C5" w:rsidRPr="008D0B1B" w:rsidRDefault="00FB09C5" w:rsidP="00FB09C5">
      <w:pPr>
        <w:spacing w:after="0" w:line="240" w:lineRule="auto"/>
        <w:ind w:left="-425" w:firstLine="709"/>
        <w:jc w:val="center"/>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FB09C5" w:rsidRPr="008D0B1B" w:rsidRDefault="00FB09C5" w:rsidP="00FB09C5">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FB09C5" w:rsidRPr="008D0B1B" w:rsidRDefault="00FB09C5" w:rsidP="00FB09C5">
      <w:pPr>
        <w:spacing w:after="0" w:line="240" w:lineRule="auto"/>
        <w:ind w:left="-425" w:firstLine="709"/>
        <w:jc w:val="both"/>
        <w:rPr>
          <w:rFonts w:ascii="Times New Roman" w:hAnsi="Times New Roman"/>
          <w:sz w:val="28"/>
          <w:szCs w:val="28"/>
        </w:rPr>
      </w:pPr>
    </w:p>
    <w:p w:rsidR="00FB09C5" w:rsidRPr="008D0B1B" w:rsidRDefault="00FB09C5" w:rsidP="00FB09C5">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FB09C5" w:rsidRPr="008D0B1B" w:rsidRDefault="00FB09C5" w:rsidP="00FB09C5">
      <w:pPr>
        <w:rPr>
          <w:sz w:val="28"/>
          <w:szCs w:val="28"/>
        </w:rPr>
      </w:pPr>
    </w:p>
    <w:p w:rsidR="00FB09C5" w:rsidRPr="008D0B1B" w:rsidRDefault="00FB09C5" w:rsidP="00FB09C5">
      <w:pPr>
        <w:jc w:val="center"/>
        <w:rPr>
          <w:rFonts w:ascii="Times New Roman" w:hAnsi="Times New Roman"/>
          <w:sz w:val="28"/>
          <w:szCs w:val="28"/>
        </w:rPr>
      </w:pPr>
      <w:r w:rsidRPr="008D0B1B">
        <w:rPr>
          <w:rFonts w:ascii="Times New Roman" w:hAnsi="Times New Roman"/>
          <w:sz w:val="28"/>
          <w:szCs w:val="28"/>
        </w:rPr>
        <w:t>_________________________________</w:t>
      </w:r>
    </w:p>
    <w:p w:rsidR="00816D71" w:rsidRDefault="00816D71" w:rsidP="00B23A18">
      <w:pPr>
        <w:pStyle w:val="a3"/>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0BA"/>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FAC"/>
    <w:rsid w:val="004B3117"/>
    <w:rsid w:val="004B7170"/>
    <w:rsid w:val="004C326E"/>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97F71"/>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6C30"/>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5EEE"/>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0AEF"/>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4DC5"/>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65CA"/>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9C5"/>
    <w:rsid w:val="00FB0FE3"/>
    <w:rsid w:val="00FB22D4"/>
    <w:rsid w:val="00FB2C0C"/>
    <w:rsid w:val="00FB609B"/>
    <w:rsid w:val="00FB770F"/>
    <w:rsid w:val="00FC0D36"/>
    <w:rsid w:val="00FC2637"/>
    <w:rsid w:val="00FC27BD"/>
    <w:rsid w:val="00FC7669"/>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6975</Words>
  <Characters>39762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46644</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3</cp:revision>
  <cp:lastPrinted>2023-05-30T01:38:00Z</cp:lastPrinted>
  <dcterms:created xsi:type="dcterms:W3CDTF">2024-01-11T03:27:00Z</dcterms:created>
  <dcterms:modified xsi:type="dcterms:W3CDTF">2024-01-11T03:31:00Z</dcterms:modified>
</cp:coreProperties>
</file>