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7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Inter" w:hAnsi="Inter" w:cs="Segoe UI"/>
          <w:sz w:val="24"/>
          <w:szCs w:val="24"/>
        </w:rPr>
      </w:pPr>
      <w:r>
        <w:rPr>
          <w:rFonts w:ascii="Inter" w:hAnsi="Inter" w:cs="Segoe UI"/>
          <w:sz w:val="24"/>
          <w:szCs w:val="24"/>
        </w:rPr>
        <w:t xml:space="preserve">«Телефон доверия» </w:t>
      </w:r>
      <w:r>
        <w:rPr>
          <w:rFonts w:ascii="Inter" w:hAnsi="Inter" w:cs="Segoe UI"/>
          <w:sz w:val="24"/>
          <w:szCs w:val="24"/>
        </w:rPr>
        <w:t xml:space="preserve">забайкальско</w:t>
      </w:r>
      <w:r>
        <w:rPr>
          <w:rFonts w:ascii="Inter" w:hAnsi="Inter" w:cs="Segoe UI"/>
          <w:sz w:val="24"/>
          <w:szCs w:val="24"/>
        </w:rPr>
        <w:t xml:space="preserve">го </w:t>
      </w:r>
      <w:r>
        <w:rPr>
          <w:rFonts w:ascii="Inter" w:hAnsi="Inter" w:cs="Segoe UI"/>
          <w:sz w:val="24"/>
          <w:szCs w:val="24"/>
        </w:rPr>
        <w:t xml:space="preserve">Росреестр</w:t>
      </w:r>
      <w:r>
        <w:rPr>
          <w:rFonts w:ascii="Inter" w:hAnsi="Inter" w:cs="Segoe UI"/>
          <w:sz w:val="24"/>
          <w:szCs w:val="24"/>
        </w:rPr>
        <w:t xml:space="preserve">а</w:t>
      </w:r>
      <w:r>
        <w:rPr>
          <w:rFonts w:ascii="Inter" w:hAnsi="Inter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Inter" w:hAnsi="Inter" w:cs="Segoe UI"/>
          <w:sz w:val="24"/>
          <w:szCs w:val="24"/>
        </w:rPr>
      </w:pPr>
      <w:r>
        <w:rPr>
          <w:rFonts w:ascii="Inter" w:hAnsi="Inter" w:cs="Segoe UI"/>
          <w:sz w:val="24"/>
          <w:szCs w:val="24"/>
        </w:rPr>
      </w:r>
      <w:r>
        <w:rPr>
          <w:rFonts w:ascii="Inter" w:hAnsi="Inter" w:cs="Segoe UI"/>
          <w:sz w:val="24"/>
          <w:szCs w:val="24"/>
        </w:rPr>
      </w:r>
    </w:p>
    <w:p>
      <w:pPr>
        <w:contextualSpacing w:val="0"/>
        <w:ind w:left="0" w:right="0" w:firstLine="567"/>
        <w:jc w:val="both"/>
        <w:spacing w:before="57" w:after="57" w:line="57" w:lineRule="atLeast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 Управлении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по Забайкальскому напоминают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гражданам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номер «Т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елефона доверия» </w:t>
      </w:r>
      <w:r>
        <w:rPr>
          <w:rStyle w:val="78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8 (3022) 35-</w:t>
      </w:r>
      <w:r>
        <w:rPr>
          <w:rStyle w:val="78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22</w:t>
      </w:r>
      <w:r>
        <w:rPr>
          <w:rStyle w:val="78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-</w:t>
      </w:r>
      <w:r>
        <w:rPr>
          <w:rStyle w:val="78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11</w:t>
      </w:r>
      <w:r>
        <w:rPr>
          <w:rStyle w:val="78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 (доб</w:t>
      </w:r>
      <w:r>
        <w:rPr>
          <w:rStyle w:val="78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.</w:t>
      </w:r>
      <w:r>
        <w:rPr>
          <w:rStyle w:val="78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 номер 5)</w:t>
      </w:r>
      <w:r>
        <w:rPr>
          <w:rStyle w:val="78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, по которому можно сообщить о фактах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коррупционных правонарушений.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Style w:val="785"/>
          <w:rFonts w:ascii="Liberation Serif" w:hAnsi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Style w:val="785"/>
          <w:rFonts w:ascii="Liberation Serif" w:hAnsi="Liberation Serif" w:cs="Liberation Serif"/>
          <w:color w:val="000000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Также обращения принимаются на официальную электронную почту Управления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 Забайкальскому краю </w:t>
      </w:r>
      <w:hyperlink r:id="rId16" w:tooltip="mailto:75_upr@rosreestr.ru" w:history="1">
        <w:r>
          <w:rPr>
            <w:rStyle w:val="774"/>
            <w:rFonts w:ascii="Liberation Serif" w:hAnsi="Liberation Serif" w:eastAsia="Liberation Serif" w:cs="Liberation Serif"/>
            <w:sz w:val="28"/>
            <w:szCs w:val="28"/>
          </w:rPr>
          <w:t xml:space="preserve">75_upr@rosreestr.ru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, либо </w:t>
      </w:r>
      <w:hyperlink r:id="rId17" w:tooltip="mailto:kadri@r75.rosreestr.ru" w:history="1">
        <w:r>
          <w:rPr>
            <w:rStyle w:val="774"/>
            <w:rFonts w:ascii="Liberation Serif" w:hAnsi="Liberation Serif" w:eastAsia="Liberation Serif" w:cs="Liberation Serif"/>
            <w:sz w:val="28"/>
            <w:szCs w:val="28"/>
          </w:rPr>
          <w:t xml:space="preserve">kadri@r75.rosreestr.ru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Обращения в письменном виде принимаются по адресу: 6720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39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г. Чита, ул. 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мурская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15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Кроме этого, в круглосуточном режиме функционирует федеральный «Телефон доверия»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куда можно позвонить по номеру 8 (800) 100-18-18. Имеется дополнительная возможность сообщить о фактах коррупции, заполнив электронную форму на сайте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: </w:t>
      </w:r>
      <w:hyperlink r:id="rId18" w:tooltip="https://rosreestr.gov.ru/eservices/services/tickets/" w:history="1">
        <w:r>
          <w:rPr>
            <w:rStyle w:val="774"/>
            <w:rFonts w:ascii="Liberation Serif" w:hAnsi="Liberation Serif" w:eastAsia="Liberation Serif" w:cs="Liberation Serif"/>
            <w:sz w:val="28"/>
            <w:szCs w:val="28"/>
          </w:rPr>
          <w:t xml:space="preserve">https://rosreestr.gov.ru/eservices/services/tickets/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По многоканальному номеру 8 (3022) 35-22-11 (доб. номер 5) принимается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рассматривается информация о фактах: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коррупционных проявлений в действиях гражда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нских служащих Управления;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конфликта интересов в действиях (бездействий) гражданских служащих Управления;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несоблюдения гражданскими служащими ограничений и запретов, в отношении которых законодательством России такие запреты и ограничения установлены.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Время приема одного обращения в режиме автоответчика не должно превышать 5 минут.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pStyle w:val="786"/>
        <w:contextualSpacing w:val="0"/>
        <w:ind w:left="0" w:right="0" w:firstLine="567"/>
        <w:jc w:val="both"/>
        <w:spacing w:before="57" w:after="57" w:line="65" w:lineRule="atLeast"/>
        <w:shd w:val="clear" w:color="auto" w:fill="auto"/>
        <w:tabs>
          <w:tab w:val="left" w:pos="0" w:leader="none"/>
        </w:tabs>
        <w:rPr>
          <w:rStyle w:val="785"/>
          <w:rFonts w:ascii="Liberation Serif" w:hAnsi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Style w:val="785"/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786"/>
        <w:contextualSpacing w:val="0"/>
        <w:ind w:left="0" w:right="0" w:firstLine="567"/>
        <w:jc w:val="both"/>
        <w:spacing w:before="57" w:after="57" w:line="65" w:lineRule="atLeast"/>
        <w:shd w:val="clear" w:color="auto" w:fill="auto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Style w:val="78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- </w:t>
      </w:r>
      <w:r>
        <w:rPr>
          <w:rStyle w:val="78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Обращения, поступившие по «телефону доверия», не касающиеся коррупционных действий гражданских служащих Управления, анонимные обращения (без указания фамилии, имени</w:t>
      </w:r>
      <w:r>
        <w:rPr>
          <w:rStyle w:val="78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гражданина, направившего обращение), обращения, не содержащие почтового адреса или адреса электронной почты, по которому должен быть направлен ответ, а также обращения, аудиозапись которых не разборчива и не понятна, не регистрируются и не рассматриваются</w:t>
      </w:r>
      <w:r>
        <w:rPr>
          <w:rStyle w:val="78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- уточняет Татьяна Лобан, заместитель руководителя Управления </w:t>
      </w:r>
      <w:r>
        <w:rPr>
          <w:rStyle w:val="78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Росреестра</w:t>
      </w:r>
      <w:r>
        <w:rPr>
          <w:rStyle w:val="78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 Забайкальскому краю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786"/>
        <w:ind w:firstLine="567"/>
        <w:jc w:val="both"/>
        <w:spacing w:before="0" w:line="276" w:lineRule="auto"/>
        <w:shd w:val="clear" w:color="auto" w:fill="auto"/>
        <w:tabs>
          <w:tab w:val="left" w:pos="1053" w:leader="none"/>
        </w:tabs>
        <w:rPr>
          <w:rStyle w:val="785"/>
          <w:rFonts w:ascii="Inter" w:hAnsi="Inter" w:cs="Segoe UI"/>
          <w:color w:val="000000"/>
          <w:sz w:val="24"/>
          <w:szCs w:val="24"/>
        </w:rPr>
      </w:pPr>
      <w:r>
        <w:rPr>
          <w:rFonts w:ascii="Inter" w:hAnsi="Inter" w:cs="Segoe UI"/>
          <w:color w:val="000000"/>
          <w:sz w:val="24"/>
          <w:szCs w:val="24"/>
        </w:rPr>
      </w:r>
      <w:r>
        <w:rPr>
          <w:rStyle w:val="785"/>
          <w:rFonts w:ascii="Inter" w:hAnsi="Inter" w:cs="Segoe UI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РосреестрЧита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#Росреестр75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Антикоррупция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ТелефонДоверия</w:t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Inter">
    <w:panose1 w:val="02000603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4"/>
    <w:next w:val="7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4"/>
    <w:next w:val="7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4"/>
    <w:next w:val="7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4"/>
    <w:next w:val="7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4"/>
    <w:next w:val="7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4"/>
    <w:next w:val="7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4"/>
    <w:next w:val="7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4"/>
    <w:next w:val="7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4"/>
    <w:next w:val="7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6"/>
    <w:link w:val="34"/>
    <w:uiPriority w:val="10"/>
    <w:rPr>
      <w:sz w:val="48"/>
      <w:szCs w:val="48"/>
    </w:rPr>
  </w:style>
  <w:style w:type="paragraph" w:styleId="36">
    <w:name w:val="Subtitle"/>
    <w:basedOn w:val="764"/>
    <w:next w:val="7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rPr>
      <w:sz w:val="24"/>
      <w:szCs w:val="24"/>
    </w:rPr>
  </w:style>
  <w:style w:type="paragraph" w:styleId="38">
    <w:name w:val="Quote"/>
    <w:basedOn w:val="764"/>
    <w:next w:val="7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4"/>
    <w:next w:val="7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6"/>
    <w:link w:val="781"/>
    <w:uiPriority w:val="99"/>
  </w:style>
  <w:style w:type="character" w:styleId="45">
    <w:name w:val="Footer Char"/>
    <w:basedOn w:val="766"/>
    <w:link w:val="783"/>
    <w:uiPriority w:val="99"/>
  </w:style>
  <w:style w:type="paragraph" w:styleId="46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3"/>
    <w:uiPriority w:val="99"/>
  </w:style>
  <w:style w:type="table" w:styleId="48">
    <w:name w:val="Table Grid"/>
    <w:basedOn w:val="7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6"/>
    <w:uiPriority w:val="99"/>
    <w:unhideWhenUsed/>
    <w:rPr>
      <w:vertAlign w:val="superscript"/>
    </w:rPr>
  </w:style>
  <w:style w:type="paragraph" w:styleId="178">
    <w:name w:val="endnote text"/>
    <w:basedOn w:val="7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6"/>
    <w:uiPriority w:val="99"/>
    <w:semiHidden/>
    <w:unhideWhenUsed/>
    <w:rPr>
      <w:vertAlign w:val="superscript"/>
    </w:rPr>
  </w:style>
  <w:style w:type="paragraph" w:styleId="181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200" w:line="276" w:lineRule="auto"/>
    </w:pPr>
  </w:style>
  <w:style w:type="paragraph" w:styleId="765">
    <w:name w:val="Heading 1"/>
    <w:basedOn w:val="764"/>
    <w:next w:val="764"/>
    <w:link w:val="77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paragraph" w:styleId="769">
    <w:name w:val="Balloon Text"/>
    <w:basedOn w:val="764"/>
    <w:link w:val="7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0" w:customStyle="1">
    <w:name w:val="Текст выноски Знак"/>
    <w:basedOn w:val="766"/>
    <w:link w:val="769"/>
    <w:uiPriority w:val="99"/>
    <w:semiHidden/>
    <w:rPr>
      <w:rFonts w:ascii="Segoe UI" w:hAnsi="Segoe UI" w:cs="Segoe UI"/>
      <w:sz w:val="18"/>
      <w:szCs w:val="18"/>
    </w:rPr>
  </w:style>
  <w:style w:type="paragraph" w:styleId="771">
    <w:name w:val="No Spacing"/>
    <w:uiPriority w:val="1"/>
    <w:qFormat/>
    <w:pPr>
      <w:spacing w:after="0" w:line="240" w:lineRule="auto"/>
    </w:pPr>
  </w:style>
  <w:style w:type="character" w:styleId="772" w:customStyle="1">
    <w:name w:val="Заголовок 1 Знак"/>
    <w:basedOn w:val="766"/>
    <w:link w:val="76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3">
    <w:name w:val="List Paragraph"/>
    <w:basedOn w:val="764"/>
    <w:uiPriority w:val="34"/>
    <w:qFormat/>
    <w:pPr>
      <w:contextualSpacing/>
      <w:ind w:left="720"/>
      <w:spacing w:after="160" w:line="256" w:lineRule="auto"/>
    </w:pPr>
  </w:style>
  <w:style w:type="character" w:styleId="774">
    <w:name w:val="Hyperlink"/>
    <w:basedOn w:val="766"/>
    <w:uiPriority w:val="99"/>
    <w:unhideWhenUsed/>
    <w:rPr>
      <w:color w:val="0563c1" w:themeColor="hyperlink"/>
      <w:u w:val="single"/>
    </w:rPr>
  </w:style>
  <w:style w:type="character" w:styleId="775">
    <w:name w:val="annotation reference"/>
    <w:basedOn w:val="766"/>
    <w:uiPriority w:val="99"/>
    <w:semiHidden/>
    <w:unhideWhenUsed/>
    <w:rPr>
      <w:sz w:val="16"/>
      <w:szCs w:val="16"/>
    </w:rPr>
  </w:style>
  <w:style w:type="paragraph" w:styleId="776">
    <w:name w:val="annotation text"/>
    <w:basedOn w:val="764"/>
    <w:link w:val="77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7" w:customStyle="1">
    <w:name w:val="Текст примечания Знак"/>
    <w:basedOn w:val="766"/>
    <w:link w:val="776"/>
    <w:uiPriority w:val="99"/>
    <w:semiHidden/>
    <w:rPr>
      <w:sz w:val="20"/>
      <w:szCs w:val="20"/>
    </w:rPr>
  </w:style>
  <w:style w:type="paragraph" w:styleId="778">
    <w:name w:val="annotation subject"/>
    <w:basedOn w:val="776"/>
    <w:next w:val="776"/>
    <w:link w:val="779"/>
    <w:uiPriority w:val="99"/>
    <w:semiHidden/>
    <w:unhideWhenUsed/>
    <w:rPr>
      <w:b/>
      <w:bCs/>
    </w:rPr>
  </w:style>
  <w:style w:type="character" w:styleId="779" w:customStyle="1">
    <w:name w:val="Тема примечания Знак"/>
    <w:basedOn w:val="777"/>
    <w:link w:val="778"/>
    <w:uiPriority w:val="99"/>
    <w:semiHidden/>
    <w:rPr>
      <w:b/>
      <w:bCs/>
      <w:sz w:val="20"/>
      <w:szCs w:val="20"/>
    </w:rPr>
  </w:style>
  <w:style w:type="character" w:styleId="780">
    <w:name w:val="Strong"/>
    <w:basedOn w:val="766"/>
    <w:uiPriority w:val="22"/>
    <w:qFormat/>
    <w:rPr>
      <w:b/>
      <w:bCs/>
    </w:rPr>
  </w:style>
  <w:style w:type="paragraph" w:styleId="781">
    <w:name w:val="Header"/>
    <w:basedOn w:val="764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66"/>
    <w:link w:val="781"/>
    <w:uiPriority w:val="99"/>
  </w:style>
  <w:style w:type="paragraph" w:styleId="783">
    <w:name w:val="Footer"/>
    <w:basedOn w:val="764"/>
    <w:link w:val="7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66"/>
    <w:link w:val="783"/>
    <w:uiPriority w:val="99"/>
  </w:style>
  <w:style w:type="character" w:styleId="785" w:customStyle="1">
    <w:name w:val="Основной текст (2)_"/>
    <w:basedOn w:val="766"/>
    <w:link w:val="786"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786" w:customStyle="1">
    <w:name w:val="Основной текст (2)"/>
    <w:basedOn w:val="764"/>
    <w:link w:val="785"/>
    <w:uiPriority w:val="99"/>
    <w:pPr>
      <w:jc w:val="center"/>
      <w:spacing w:before="360" w:after="0" w:line="317" w:lineRule="exact"/>
      <w:shd w:val="clear" w:color="auto" w:fill="ffffff"/>
      <w:widowControl w:val="off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mailto:75_upr@rosreestr.ru" TargetMode="External"/><Relationship Id="rId17" Type="http://schemas.openxmlformats.org/officeDocument/2006/relationships/hyperlink" Target="mailto:kadri@r75.rosreestr.ru" TargetMode="External"/><Relationship Id="rId18" Type="http://schemas.openxmlformats.org/officeDocument/2006/relationships/hyperlink" Target="https://rosreestr.gov.ru/eservices/services/ticket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24</cp:revision>
  <dcterms:created xsi:type="dcterms:W3CDTF">2022-05-27T10:42:00Z</dcterms:created>
  <dcterms:modified xsi:type="dcterms:W3CDTF">2024-12-11T06:45:52Z</dcterms:modified>
</cp:coreProperties>
</file>