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pStyle w:val="Style_4"/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Новое в законодательстве о транспортной безопасности</w:t>
      </w:r>
    </w:p>
    <w:p w14:paraId="0B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16.11.2024 № 1574 внесены изменения в Требования по обеспечению транспортной безопасности, учитывающие уровни безопасности для транспортных средств автомобильного транспорта и городского наземного электрического транспорта.</w:t>
      </w:r>
    </w:p>
    <w:p w14:paraId="0C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поправкам, для транспортных средств, осуществляющих перевозки пассажиров по маршрутам регулярных перевозок и эксплуатируемых одним субъектом транспортной инфраструктуры (перевозчиком), у которых идентичны категории и классы, соответствующие техническому регламенту Таможенного союза «О безопасности колесных транспортных средств», а также конструктивные элементы, влияющие на применение одинаковых мер по защите этих транспортных средств от актов незаконного вмешательства, паспорт транспортного средства может разрабатываться и утверждаться на группу таких транспортных средств по одному или нескольким маршрутам регулярных перевозок, на которых используются эти транспортные средства.</w:t>
      </w:r>
    </w:p>
    <w:p w14:paraId="0D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разработки и утверждения паспорта транспортного средства на группу транспортных средств внесение в него изменений (дополнений), </w:t>
      </w:r>
      <w:r>
        <w:rPr>
          <w:rFonts w:ascii="Times New Roman" w:hAnsi="Times New Roman"/>
          <w:sz w:val="28"/>
        </w:rPr>
        <w:t>переутверждение и представление в Росавтодор в связи с переходом права собственности на транспортное средство или переходом права его использования на ином законном основании, а также при изменении маршрута регулярной перевозки транспортного средства должны осуществляться в течение 3 месяцев со дня возникновения указанных обстоятельств. Изменения вступили в силу 26.11.2024.</w:t>
      </w:r>
    </w:p>
    <w:p w14:paraId="0E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0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1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3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6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7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6"/>
    <w:link w:val="Style_13_ch"/>
    <w:pPr>
      <w:widowControl w:val="1"/>
      <w:ind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Normal (Web)"/>
    <w:basedOn w:val="Style_6"/>
    <w:link w:val="Style_1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6_ch"/>
    <w:link w:val="Style_14"/>
    <w:rPr>
      <w:rFonts w:ascii="Times New Roman" w:hAnsi="Times New Roman"/>
      <w:sz w:val="24"/>
    </w:rPr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6_ch"/>
    <w:link w:val="Style_24"/>
    <w:rPr>
      <w:rFonts w:ascii="Segoe UI" w:hAnsi="Segoe UI"/>
      <w:sz w:val="1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2025-05-25T07:27:53Z</dcterms:modified>
</cp:coreProperties>
</file>