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pStyle w:val="Style_4"/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Скорректированы нормы о государственном контроле (надзоре) в области рыболовства и сохранения водных биологических ресурсов</w:t>
      </w:r>
    </w:p>
    <w:p w14:paraId="0B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30.11.2024 № 439-ФЗ внесены изменения в статью 43.2 Федерального закона «О рыболовстве и сохранении водных биологических ресурсов», которыми установлена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14:paraId="0C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Федеральное агентство по рыболовству (Росрыболовство) и его территориальные органы смогут контролировать в режиме постоянного рейда соблюдение требований в области рыболовства и сохранения водных биоресурсов (кроме морских).</w:t>
      </w:r>
    </w:p>
    <w:p w14:paraId="0D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Инспекторам разрешено постоянно находиться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14:paraId="0E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таком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</w:t>
      </w:r>
    </w:p>
    <w:p w14:paraId="0F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требований статьи 97.1 Федерального закона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14:paraId="10000000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осмотр;</w:t>
      </w:r>
    </w:p>
    <w:p w14:paraId="11000000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досмотр;</w:t>
      </w:r>
    </w:p>
    <w:p w14:paraId="12000000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опрос;</w:t>
      </w:r>
    </w:p>
    <w:p w14:paraId="13000000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истребование документов, которые в соответствии с обязательными требованиями должны находиться в транспортном средстве, на ином </w:t>
      </w:r>
    </w:p>
    <w:p w14:paraId="14000000">
      <w:pPr>
        <w:widowControl w:val="1"/>
        <w:spacing w:after="0"/>
        <w:ind w:hanging="14" w:left="694" w:right="28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производственном объекте или у контролируемого лица; 5) инструментальное обследование.</w:t>
      </w:r>
    </w:p>
    <w:p w14:paraId="15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вступают в силу с 01.03.2025.</w:t>
      </w:r>
    </w:p>
    <w:p w14:paraId="16000000">
      <w:pPr>
        <w:pStyle w:val="Style_5"/>
        <w:widowControl w:val="1"/>
        <w:spacing w:after="0" w:before="0"/>
        <w:ind w:firstLine="709"/>
        <w:jc w:val="both"/>
        <w:rPr>
          <w:sz w:val="28"/>
        </w:rPr>
      </w:pP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tbl>
      <w:tblPr>
        <w:tblStyle w:val="Style_6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9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B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C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D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)"/>
      <w:lvlJc w:val="left"/>
      <w:pPr>
        <w:widowControl w:val="1"/>
        <w:ind w:left="70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1">
      <w:start w:val="1"/>
      <w:numFmt w:val="lowerLetter"/>
      <w:suff w:val="tab"/>
      <w:lvlText w:val="%2"/>
      <w:lvlJc w:val="left"/>
      <w:pPr>
        <w:widowControl w:val="1"/>
        <w:ind w:left="178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2">
      <w:start w:val="1"/>
      <w:numFmt w:val="lowerRoman"/>
      <w:suff w:val="tab"/>
      <w:lvlText w:val="%3"/>
      <w:lvlJc w:val="left"/>
      <w:pPr>
        <w:widowControl w:val="1"/>
        <w:ind w:left="250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3">
      <w:start w:val="1"/>
      <w:numFmt w:val="decimal"/>
      <w:suff w:val="tab"/>
      <w:lvlText w:val="%4"/>
      <w:lvlJc w:val="left"/>
      <w:pPr>
        <w:widowControl w:val="1"/>
        <w:ind w:left="322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4">
      <w:start w:val="1"/>
      <w:numFmt w:val="lowerLetter"/>
      <w:suff w:val="tab"/>
      <w:lvlText w:val="%5"/>
      <w:lvlJc w:val="left"/>
      <w:pPr>
        <w:widowControl w:val="1"/>
        <w:ind w:left="394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5">
      <w:start w:val="1"/>
      <w:numFmt w:val="lowerRoman"/>
      <w:suff w:val="tab"/>
      <w:lvlText w:val="%6"/>
      <w:lvlJc w:val="left"/>
      <w:pPr>
        <w:widowControl w:val="1"/>
        <w:ind w:left="466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6">
      <w:start w:val="1"/>
      <w:numFmt w:val="decimal"/>
      <w:suff w:val="tab"/>
      <w:lvlText w:val="%7"/>
      <w:lvlJc w:val="left"/>
      <w:pPr>
        <w:widowControl w:val="1"/>
        <w:ind w:left="538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7">
      <w:start w:val="1"/>
      <w:numFmt w:val="lowerLetter"/>
      <w:suff w:val="tab"/>
      <w:lvlText w:val="%8"/>
      <w:lvlJc w:val="left"/>
      <w:pPr>
        <w:widowControl w:val="1"/>
        <w:ind w:left="610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  <w:lvl w:ilvl="8">
      <w:start w:val="1"/>
      <w:numFmt w:val="lowerRoman"/>
      <w:suff w:val="tab"/>
      <w:lvlText w:val="%9"/>
      <w:lvlJc w:val="left"/>
      <w:pPr>
        <w:widowControl w:val="1"/>
        <w:ind w:left="6829"/>
      </w:pPr>
      <w:rPr>
        <w:rFonts w:ascii="Times New Roman" w:hAnsi="Times New Roman"/>
        <w:b w:val="0"/>
        <w:i w:val="0"/>
        <w:strike w:val="0"/>
        <w:color w:val="333333"/>
        <w:sz w:val="28"/>
        <w:u w:color="000000"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9" w:type="paragraph">
    <w:name w:val="toc 4"/>
    <w:next w:val="Style_7"/>
    <w:link w:val="Style_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footer"/>
    <w:basedOn w:val="Style_7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7_ch"/>
    <w:link w:val="Style_3"/>
  </w:style>
  <w:style w:styleId="Style_14" w:type="paragraph">
    <w:name w:val="toc 3"/>
    <w:next w:val="Style_7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7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7_ch"/>
    <w:link w:val="Style_15"/>
    <w:rPr>
      <w:rFonts w:ascii="Segoe UI" w:hAnsi="Segoe UI"/>
      <w:sz w:val="18"/>
    </w:rPr>
  </w:style>
  <w:style w:styleId="Style_16" w:type="paragraph">
    <w:name w:val="heading 5"/>
    <w:next w:val="Style_7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next w:val="Style_7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7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7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7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7_ch"/>
    <w:link w:val="Style_25"/>
  </w:style>
  <w:style w:styleId="Style_26" w:type="paragraph">
    <w:name w:val="Subtitle"/>
    <w:next w:val="Style_7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5" w:type="paragraph">
    <w:name w:val="Normal (Web)"/>
    <w:basedOn w:val="Style_7"/>
    <w:link w:val="Style_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8" w:type="paragraph">
    <w:name w:val="heading 4"/>
    <w:next w:val="Style_7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2025-05-27T03:39:12Z</dcterms:modified>
</cp:coreProperties>
</file>